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888" w:rsidRDefault="003E0802" w:rsidP="00090888">
      <w:pPr>
        <w:spacing w:line="480" w:lineRule="auto"/>
        <w:jc w:val="center"/>
        <w:rPr>
          <w:b/>
        </w:rPr>
      </w:pPr>
      <w:bookmarkStart w:id="0" w:name="_GoBack"/>
      <w:bookmarkEnd w:id="0"/>
      <w:r>
        <w:rPr>
          <w:b/>
        </w:rPr>
        <w:t>A State</w:t>
      </w:r>
      <w:r w:rsidR="00B9706B">
        <w:rPr>
          <w:b/>
        </w:rPr>
        <w:t xml:space="preserve">-Level Policy </w:t>
      </w:r>
      <w:r>
        <w:rPr>
          <w:b/>
        </w:rPr>
        <w:t>Planning Network</w:t>
      </w:r>
    </w:p>
    <w:p w:rsidR="00B0493C" w:rsidRDefault="00B0493C" w:rsidP="00B0493C">
      <w:pPr>
        <w:spacing w:line="480" w:lineRule="auto"/>
        <w:jc w:val="center"/>
      </w:pPr>
      <w:r>
        <w:t xml:space="preserve">Sasha </w:t>
      </w:r>
      <w:proofErr w:type="spellStart"/>
      <w:r>
        <w:t>Patsel</w:t>
      </w:r>
      <w:proofErr w:type="spellEnd"/>
    </w:p>
    <w:p w:rsidR="00B0493C" w:rsidRDefault="00B0493C" w:rsidP="00090888">
      <w:pPr>
        <w:spacing w:line="480" w:lineRule="auto"/>
        <w:jc w:val="center"/>
        <w:rPr>
          <w:b/>
        </w:rPr>
      </w:pPr>
    </w:p>
    <w:p w:rsidR="00090888" w:rsidRDefault="00090888" w:rsidP="001F3AE9">
      <w:pPr>
        <w:spacing w:line="480" w:lineRule="auto"/>
      </w:pPr>
      <w:r>
        <w:tab/>
      </w:r>
      <w:proofErr w:type="gramStart"/>
      <w:r w:rsidR="00E837A8">
        <w:t xml:space="preserve">One of </w:t>
      </w:r>
      <w:proofErr w:type="spellStart"/>
      <w:r w:rsidR="00E837A8">
        <w:t>Domhoff’s</w:t>
      </w:r>
      <w:proofErr w:type="spellEnd"/>
      <w:r w:rsidR="00E837A8">
        <w:t xml:space="preserve"> key assertions</w:t>
      </w:r>
      <w:r w:rsidR="00056FF0" w:rsidRPr="00056FF0">
        <w:t xml:space="preserve"> </w:t>
      </w:r>
      <w:r w:rsidR="00056FF0">
        <w:t xml:space="preserve">in </w:t>
      </w:r>
      <w:r w:rsidR="00056FF0">
        <w:rPr>
          <w:i/>
        </w:rPr>
        <w:t>Who Rules America</w:t>
      </w:r>
      <w:r w:rsidR="00B9706B">
        <w:rPr>
          <w:i/>
        </w:rPr>
        <w:t>?</w:t>
      </w:r>
      <w:proofErr w:type="gramEnd"/>
      <w:r w:rsidR="00B9706B">
        <w:t xml:space="preserve"> </w:t>
      </w:r>
      <w:proofErr w:type="gramStart"/>
      <w:r w:rsidR="00B9706B">
        <w:t>is</w:t>
      </w:r>
      <w:proofErr w:type="gramEnd"/>
      <w:r w:rsidR="00B9706B">
        <w:t xml:space="preserve"> that an ultraconservative</w:t>
      </w:r>
      <w:r w:rsidR="00E837A8">
        <w:t xml:space="preserve"> </w:t>
      </w:r>
      <w:r w:rsidR="00B9706B">
        <w:t xml:space="preserve">policy </w:t>
      </w:r>
      <w:r w:rsidR="001C7304">
        <w:t>planning</w:t>
      </w:r>
      <w:r w:rsidR="00E837A8">
        <w:t xml:space="preserve"> network exists and</w:t>
      </w:r>
      <w:r w:rsidR="00B70452">
        <w:t xml:space="preserve"> that</w:t>
      </w:r>
      <w:r w:rsidR="00E837A8">
        <w:t xml:space="preserve"> it actively works to maintain corporate and upper class interests</w:t>
      </w:r>
      <w:r w:rsidR="00B9706B">
        <w:t xml:space="preserve"> in America</w:t>
      </w:r>
      <w:r w:rsidR="00E837A8">
        <w:t xml:space="preserve">. </w:t>
      </w:r>
      <w:r w:rsidR="00B9706B">
        <w:t xml:space="preserve">He describes the policy </w:t>
      </w:r>
      <w:r w:rsidR="00125425">
        <w:t xml:space="preserve">planning network as beginning “in corporate boardrooms, social clubs, and informal discussions, where problems are identified as ‘issues’ to </w:t>
      </w:r>
      <w:r w:rsidR="00B9706B">
        <w:t>be solved by new policies</w:t>
      </w:r>
      <w:r w:rsidR="00420036">
        <w:t>”</w:t>
      </w:r>
      <w:r w:rsidR="00B9706B">
        <w:t>.</w:t>
      </w:r>
      <w:r w:rsidR="00407E11">
        <w:rPr>
          <w:rStyle w:val="FootnoteReference"/>
        </w:rPr>
        <w:footnoteReference w:id="1"/>
      </w:r>
      <w:r w:rsidR="00125425">
        <w:t xml:space="preserve"> </w:t>
      </w:r>
      <w:r w:rsidR="00B9706B">
        <w:t xml:space="preserve">The policy </w:t>
      </w:r>
      <w:r w:rsidR="00E95B86">
        <w:t>planning network</w:t>
      </w:r>
      <w:r w:rsidR="00B9706B">
        <w:t xml:space="preserve"> is compri</w:t>
      </w:r>
      <w:r w:rsidR="0046178A">
        <w:t>sed of “foundations, think tanks, and policy discussion g</w:t>
      </w:r>
      <w:r w:rsidR="00B9706B">
        <w:t>roups</w:t>
      </w:r>
      <w:r w:rsidR="00420036">
        <w:t>”</w:t>
      </w:r>
      <w:r w:rsidR="00B9706B">
        <w:t>.</w:t>
      </w:r>
      <w:r w:rsidR="00420036">
        <w:rPr>
          <w:rStyle w:val="FootnoteReference"/>
        </w:rPr>
        <w:footnoteReference w:id="2"/>
      </w:r>
      <w:r w:rsidR="0046178A">
        <w:t xml:space="preserve"> </w:t>
      </w:r>
      <w:r w:rsidR="00C844E5">
        <w:t xml:space="preserve">Among the policy discussion groups is an organization known as ALEC (American Legislative Exchange Council). </w:t>
      </w:r>
      <w:r w:rsidR="00961056">
        <w:t xml:space="preserve">Though </w:t>
      </w:r>
      <w:proofErr w:type="spellStart"/>
      <w:r w:rsidR="00961056">
        <w:t>Domhoff</w:t>
      </w:r>
      <w:proofErr w:type="spellEnd"/>
      <w:r w:rsidR="00961056">
        <w:t xml:space="preserve"> focuses</w:t>
      </w:r>
      <w:r w:rsidR="00056FF0">
        <w:t xml:space="preserve"> chiefly</w:t>
      </w:r>
      <w:r w:rsidR="00961056">
        <w:t xml:space="preserve"> on legislation at the national level, ALEC maintains </w:t>
      </w:r>
      <w:r w:rsidR="001C0F60">
        <w:t xml:space="preserve">and fights for </w:t>
      </w:r>
      <w:r w:rsidR="00961056">
        <w:t>corporate interests through state legislatures</w:t>
      </w:r>
      <w:r w:rsidR="00B9706B">
        <w:t>.</w:t>
      </w:r>
      <w:r w:rsidR="00C21BD0">
        <w:rPr>
          <w:rStyle w:val="FootnoteReference"/>
        </w:rPr>
        <w:footnoteReference w:id="3"/>
      </w:r>
      <w:r w:rsidR="001C0F60">
        <w:t xml:space="preserve"> </w:t>
      </w:r>
      <w:r w:rsidR="00001830">
        <w:t>Regardless, ALEC remains an effective example of how the corporate rich are able to achieve policy victor</w:t>
      </w:r>
      <w:r w:rsidR="00B9706B">
        <w:t>ies that disproportionately serve their interests.</w:t>
      </w:r>
      <w:r w:rsidR="00407E11">
        <w:rPr>
          <w:rStyle w:val="FootnoteReference"/>
        </w:rPr>
        <w:footnoteReference w:id="4"/>
      </w:r>
      <w:r w:rsidR="00001830">
        <w:t xml:space="preserve"> </w:t>
      </w:r>
    </w:p>
    <w:p w:rsidR="001F3AE9" w:rsidRDefault="00420036" w:rsidP="001F3AE9">
      <w:pPr>
        <w:spacing w:line="480" w:lineRule="auto"/>
        <w:rPr>
          <w:rFonts w:eastAsia="Times New Roman"/>
          <w:shd w:val="clear" w:color="auto" w:fill="FFFFFF"/>
        </w:rPr>
      </w:pPr>
      <w:r w:rsidRPr="001F3AE9">
        <w:tab/>
      </w:r>
      <w:r w:rsidR="009C2E4B" w:rsidRPr="001F3AE9">
        <w:t>ALEC</w:t>
      </w:r>
      <w:r w:rsidR="00610F1E" w:rsidRPr="001F3AE9">
        <w:t>’s primary</w:t>
      </w:r>
      <w:r w:rsidR="00CB7263" w:rsidRPr="001F3AE9">
        <w:t xml:space="preserve"> objective is to draft legislation.</w:t>
      </w:r>
      <w:r w:rsidR="009C2E4B" w:rsidRPr="001F3AE9">
        <w:t xml:space="preserve"> </w:t>
      </w:r>
      <w:r w:rsidR="00515C24" w:rsidRPr="001F3AE9">
        <w:t xml:space="preserve">This process involves a number </w:t>
      </w:r>
      <w:proofErr w:type="gramStart"/>
      <w:r w:rsidR="00515C24" w:rsidRPr="001F3AE9">
        <w:t>of</w:t>
      </w:r>
      <w:proofErr w:type="gramEnd"/>
      <w:r w:rsidR="00515C24" w:rsidRPr="001F3AE9">
        <w:t xml:space="preserve"> task forces. </w:t>
      </w:r>
      <w:r w:rsidR="00BF71FA" w:rsidRPr="001F3AE9">
        <w:t xml:space="preserve">ALEC’s task forces involve private sector representatives (CEOs, </w:t>
      </w:r>
      <w:r w:rsidR="001F3AE9" w:rsidRPr="001F3AE9">
        <w:t>company presidents, etc…) and state legisl</w:t>
      </w:r>
      <w:r w:rsidR="00732EBB">
        <w:t xml:space="preserve">ators voting together </w:t>
      </w:r>
      <w:r w:rsidR="001F3AE9" w:rsidRPr="001F3AE9">
        <w:t xml:space="preserve">on model bills. </w:t>
      </w:r>
      <w:proofErr w:type="gramStart"/>
      <w:r w:rsidR="001F3AE9" w:rsidRPr="001F3AE9">
        <w:t xml:space="preserve">According to their own website: </w:t>
      </w:r>
      <w:r w:rsidR="001F3AE9">
        <w:t>“</w:t>
      </w:r>
      <w:r w:rsidR="001F3AE9" w:rsidRPr="001F3AE9">
        <w:rPr>
          <w:rFonts w:eastAsia="Times New Roman"/>
          <w:shd w:val="clear" w:color="auto" w:fill="FFFFFF"/>
        </w:rPr>
        <w:t>Legislators welcome their private sector counterparts to the table as equals, working in unison to solve t</w:t>
      </w:r>
      <w:r w:rsidR="00B9706B">
        <w:rPr>
          <w:rFonts w:eastAsia="Times New Roman"/>
          <w:shd w:val="clear" w:color="auto" w:fill="FFFFFF"/>
        </w:rPr>
        <w:t>he challenges facing our nation</w:t>
      </w:r>
      <w:r w:rsidR="001F3AE9">
        <w:rPr>
          <w:rFonts w:eastAsia="Times New Roman"/>
          <w:shd w:val="clear" w:color="auto" w:fill="FFFFFF"/>
        </w:rPr>
        <w:t>”</w:t>
      </w:r>
      <w:r w:rsidR="00B9706B">
        <w:rPr>
          <w:rFonts w:eastAsia="Times New Roman"/>
          <w:shd w:val="clear" w:color="auto" w:fill="FFFFFF"/>
        </w:rPr>
        <w:t>.</w:t>
      </w:r>
      <w:proofErr w:type="gramEnd"/>
      <w:r w:rsidR="001F3AE9">
        <w:rPr>
          <w:rStyle w:val="FootnoteReference"/>
          <w:rFonts w:eastAsia="Times New Roman"/>
          <w:shd w:val="clear" w:color="auto" w:fill="FFFFFF"/>
        </w:rPr>
        <w:footnoteReference w:id="5"/>
      </w:r>
      <w:r w:rsidR="008A1A81">
        <w:rPr>
          <w:rFonts w:eastAsia="Times New Roman"/>
          <w:shd w:val="clear" w:color="auto" w:fill="FFFFFF"/>
        </w:rPr>
        <w:t xml:space="preserve"> </w:t>
      </w:r>
      <w:r w:rsidR="008A1A81">
        <w:rPr>
          <w:rFonts w:eastAsia="Times New Roman"/>
          <w:shd w:val="clear" w:color="auto" w:fill="FFFFFF"/>
        </w:rPr>
        <w:lastRenderedPageBreak/>
        <w:t>Although it claims to be a non-partisan group, its agenda is highly conservative and Republicans dominate its board</w:t>
      </w:r>
      <w:r w:rsidR="00CB30D0">
        <w:rPr>
          <w:rFonts w:eastAsia="Times New Roman"/>
          <w:shd w:val="clear" w:color="auto" w:fill="FFFFFF"/>
        </w:rPr>
        <w:t>.</w:t>
      </w:r>
      <w:r w:rsidR="008A1A81">
        <w:rPr>
          <w:rStyle w:val="FootnoteReference"/>
          <w:rFonts w:eastAsia="Times New Roman"/>
          <w:shd w:val="clear" w:color="auto" w:fill="FFFFFF"/>
        </w:rPr>
        <w:footnoteReference w:id="6"/>
      </w:r>
      <w:r w:rsidR="00077CD4">
        <w:rPr>
          <w:rFonts w:eastAsia="Times New Roman"/>
          <w:shd w:val="clear" w:color="auto" w:fill="FFFFFF"/>
        </w:rPr>
        <w:t xml:space="preserve"> Naturally, the vast majority of ALEC’s model legislation works against the agenda</w:t>
      </w:r>
      <w:r w:rsidR="00D54431">
        <w:rPr>
          <w:rFonts w:eastAsia="Times New Roman"/>
          <w:shd w:val="clear" w:color="auto" w:fill="FFFFFF"/>
        </w:rPr>
        <w:t xml:space="preserve"> of the liberal-labor alliance. Roughly 200 of 1000 bills that ALEC proposes</w:t>
      </w:r>
      <w:r w:rsidR="00056FF0" w:rsidRPr="00056FF0">
        <w:rPr>
          <w:rFonts w:eastAsia="Times New Roman"/>
          <w:shd w:val="clear" w:color="auto" w:fill="FFFFFF"/>
        </w:rPr>
        <w:t xml:space="preserve"> </w:t>
      </w:r>
      <w:r w:rsidR="00056FF0">
        <w:rPr>
          <w:rFonts w:eastAsia="Times New Roman"/>
          <w:shd w:val="clear" w:color="auto" w:fill="FFFFFF"/>
        </w:rPr>
        <w:t>every year</w:t>
      </w:r>
      <w:r w:rsidR="00D54431">
        <w:rPr>
          <w:rFonts w:eastAsia="Times New Roman"/>
          <w:shd w:val="clear" w:color="auto" w:fill="FFFFFF"/>
        </w:rPr>
        <w:t xml:space="preserve"> are passed</w:t>
      </w:r>
      <w:r w:rsidR="00CB30D0">
        <w:rPr>
          <w:rFonts w:eastAsia="Times New Roman"/>
          <w:shd w:val="clear" w:color="auto" w:fill="FFFFFF"/>
        </w:rPr>
        <w:t>.</w:t>
      </w:r>
      <w:r w:rsidR="00D54431">
        <w:rPr>
          <w:rStyle w:val="FootnoteReference"/>
          <w:rFonts w:eastAsia="Times New Roman"/>
          <w:shd w:val="clear" w:color="auto" w:fill="FFFFFF"/>
        </w:rPr>
        <w:footnoteReference w:id="7"/>
      </w:r>
      <w:r w:rsidR="00D54431">
        <w:rPr>
          <w:rFonts w:eastAsia="Times New Roman"/>
          <w:shd w:val="clear" w:color="auto" w:fill="FFFFFF"/>
        </w:rPr>
        <w:t xml:space="preserve"> </w:t>
      </w:r>
    </w:p>
    <w:p w:rsidR="0047799B" w:rsidRDefault="00AD2B39" w:rsidP="0003536A">
      <w:pPr>
        <w:spacing w:line="480" w:lineRule="auto"/>
        <w:rPr>
          <w:rFonts w:eastAsia="Times New Roman"/>
          <w:shd w:val="clear" w:color="auto" w:fill="FFFFFF"/>
        </w:rPr>
      </w:pPr>
      <w:r>
        <w:rPr>
          <w:rFonts w:eastAsia="Times New Roman"/>
          <w:shd w:val="clear" w:color="auto" w:fill="FFFFFF"/>
        </w:rPr>
        <w:tab/>
      </w:r>
      <w:r w:rsidR="008524D7">
        <w:rPr>
          <w:rFonts w:eastAsia="Times New Roman"/>
          <w:shd w:val="clear" w:color="auto" w:fill="FFFFFF"/>
        </w:rPr>
        <w:t>ALEC’s opposition to the liberal-labor alliance is clearly illustrated by the bills that it proposes, and sometimes gets passed through state legislatures. ALEC actively fights for the abolishment of the minimum wage and paid sick days</w:t>
      </w:r>
      <w:r w:rsidR="00CB30D0">
        <w:rPr>
          <w:rFonts w:eastAsia="Times New Roman"/>
          <w:shd w:val="clear" w:color="auto" w:fill="FFFFFF"/>
        </w:rPr>
        <w:t>,</w:t>
      </w:r>
      <w:r w:rsidR="008524D7">
        <w:rPr>
          <w:rStyle w:val="FootnoteReference"/>
          <w:rFonts w:eastAsia="Times New Roman"/>
          <w:shd w:val="clear" w:color="auto" w:fill="FFFFFF"/>
        </w:rPr>
        <w:footnoteReference w:id="8"/>
      </w:r>
      <w:r w:rsidR="008524D7">
        <w:rPr>
          <w:rFonts w:eastAsia="Times New Roman"/>
          <w:shd w:val="clear" w:color="auto" w:fill="FFFFFF"/>
        </w:rPr>
        <w:t xml:space="preserve"> the undermining of climate science education</w:t>
      </w:r>
      <w:r w:rsidR="00CB30D0">
        <w:rPr>
          <w:rFonts w:eastAsia="Times New Roman"/>
          <w:shd w:val="clear" w:color="auto" w:fill="FFFFFF"/>
        </w:rPr>
        <w:t>,</w:t>
      </w:r>
      <w:r w:rsidR="008524D7">
        <w:rPr>
          <w:rStyle w:val="FootnoteReference"/>
          <w:rFonts w:eastAsia="Times New Roman"/>
          <w:shd w:val="clear" w:color="auto" w:fill="FFFFFF"/>
        </w:rPr>
        <w:footnoteReference w:id="9"/>
      </w:r>
      <w:r w:rsidR="008524D7">
        <w:rPr>
          <w:rFonts w:eastAsia="Times New Roman"/>
          <w:shd w:val="clear" w:color="auto" w:fill="FFFFFF"/>
        </w:rPr>
        <w:t xml:space="preserve"> de-regulation of fossil fuels</w:t>
      </w:r>
      <w:r w:rsidR="00213FBA">
        <w:rPr>
          <w:rFonts w:eastAsia="Times New Roman"/>
          <w:shd w:val="clear" w:color="auto" w:fill="FFFFFF"/>
        </w:rPr>
        <w:t xml:space="preserve"> (as well as de-regulation in general)</w:t>
      </w:r>
      <w:r w:rsidR="00CB30D0">
        <w:rPr>
          <w:rFonts w:eastAsia="Times New Roman"/>
          <w:shd w:val="clear" w:color="auto" w:fill="FFFFFF"/>
        </w:rPr>
        <w:t>,</w:t>
      </w:r>
      <w:r w:rsidR="008524D7">
        <w:rPr>
          <w:rStyle w:val="FootnoteReference"/>
          <w:rFonts w:eastAsia="Times New Roman"/>
          <w:shd w:val="clear" w:color="auto" w:fill="FFFFFF"/>
        </w:rPr>
        <w:footnoteReference w:id="10"/>
      </w:r>
      <w:r w:rsidR="008524D7">
        <w:rPr>
          <w:rFonts w:eastAsia="Times New Roman"/>
          <w:shd w:val="clear" w:color="auto" w:fill="FFFFFF"/>
        </w:rPr>
        <w:t xml:space="preserve"> </w:t>
      </w:r>
      <w:r w:rsidR="002852FB">
        <w:rPr>
          <w:rFonts w:eastAsia="Times New Roman"/>
          <w:shd w:val="clear" w:color="auto" w:fill="FFFFFF"/>
        </w:rPr>
        <w:t xml:space="preserve">and many more policies that are too numerous to list here. </w:t>
      </w:r>
      <w:r w:rsidR="007F02D1">
        <w:rPr>
          <w:rFonts w:eastAsia="Times New Roman"/>
          <w:shd w:val="clear" w:color="auto" w:fill="FFFFFF"/>
        </w:rPr>
        <w:t>While these bills are</w:t>
      </w:r>
      <w:r w:rsidR="00056FF0">
        <w:rPr>
          <w:rFonts w:eastAsia="Times New Roman"/>
          <w:shd w:val="clear" w:color="auto" w:fill="FFFFFF"/>
        </w:rPr>
        <w:t xml:space="preserve"> not in the interest of the average worker and/or citizen, there is clearly something to gain from these initiatives on the part of corporations. For example, de-regulation of fossil fuels and </w:t>
      </w:r>
      <w:r w:rsidR="00ED73BD">
        <w:rPr>
          <w:rFonts w:eastAsia="Times New Roman"/>
          <w:shd w:val="clear" w:color="auto" w:fill="FFFFFF"/>
        </w:rPr>
        <w:t>diminished climate education would almost certainly benefit oil and gas inter</w:t>
      </w:r>
      <w:r w:rsidR="00CB30D0">
        <w:rPr>
          <w:rFonts w:eastAsia="Times New Roman"/>
          <w:shd w:val="clear" w:color="auto" w:fill="FFFFFF"/>
        </w:rPr>
        <w:t>ests by removing obstacles to</w:t>
      </w:r>
      <w:r w:rsidR="00ED73BD">
        <w:rPr>
          <w:rFonts w:eastAsia="Times New Roman"/>
          <w:shd w:val="clear" w:color="auto" w:fill="FFFFFF"/>
        </w:rPr>
        <w:t xml:space="preserve"> increased profit</w:t>
      </w:r>
      <w:r w:rsidR="00CB30D0">
        <w:rPr>
          <w:rFonts w:eastAsia="Times New Roman"/>
          <w:shd w:val="clear" w:color="auto" w:fill="FFFFFF"/>
        </w:rPr>
        <w:t>s</w:t>
      </w:r>
      <w:r w:rsidR="00ED73BD">
        <w:rPr>
          <w:rFonts w:eastAsia="Times New Roman"/>
          <w:shd w:val="clear" w:color="auto" w:fill="FFFFFF"/>
        </w:rPr>
        <w:t>.</w:t>
      </w:r>
      <w:r w:rsidR="00056FF0">
        <w:rPr>
          <w:rFonts w:eastAsia="Times New Roman"/>
          <w:shd w:val="clear" w:color="auto" w:fill="FFFFFF"/>
        </w:rPr>
        <w:t xml:space="preserve"> </w:t>
      </w:r>
      <w:r w:rsidR="00ED73BD">
        <w:rPr>
          <w:rFonts w:eastAsia="Times New Roman"/>
          <w:shd w:val="clear" w:color="auto" w:fill="FFFFFF"/>
        </w:rPr>
        <w:t xml:space="preserve">Abolishment or minimizing of a minimum wage and paid sick days also clearly don’t benefit workers, but do indeed reduce costs for corporations. </w:t>
      </w:r>
    </w:p>
    <w:p w:rsidR="0047799B" w:rsidRDefault="00ED73BD" w:rsidP="0047799B">
      <w:pPr>
        <w:spacing w:line="480" w:lineRule="auto"/>
        <w:ind w:firstLine="720"/>
        <w:rPr>
          <w:rFonts w:eastAsia="Times New Roman"/>
          <w:shd w:val="clear" w:color="auto" w:fill="FFFFFF"/>
        </w:rPr>
      </w:pPr>
      <w:r>
        <w:rPr>
          <w:rFonts w:eastAsia="Times New Roman"/>
          <w:shd w:val="clear" w:color="auto" w:fill="FFFFFF"/>
        </w:rPr>
        <w:t>An examination of</w:t>
      </w:r>
      <w:r w:rsidR="003E73D8">
        <w:rPr>
          <w:rFonts w:eastAsia="Times New Roman"/>
          <w:shd w:val="clear" w:color="auto" w:fill="FFFFFF"/>
        </w:rPr>
        <w:t xml:space="preserve"> ALEC’s top donors from 2002 to 2012</w:t>
      </w:r>
      <w:r>
        <w:rPr>
          <w:rFonts w:eastAsia="Times New Roman"/>
          <w:shd w:val="clear" w:color="auto" w:fill="FFFFFF"/>
        </w:rPr>
        <w:t xml:space="preserve"> in the table below makes it evident that ALEC represents the interests of corporations and not of the public, as they claim.</w:t>
      </w:r>
      <w:r w:rsidR="00F9710B">
        <w:rPr>
          <w:rFonts w:eastAsia="Times New Roman"/>
          <w:shd w:val="clear" w:color="auto" w:fill="FFFFFF"/>
        </w:rPr>
        <w:t xml:space="preserve"> </w:t>
      </w:r>
      <w:r w:rsidR="005C01D6">
        <w:rPr>
          <w:rFonts w:eastAsia="Times New Roman"/>
          <w:shd w:val="clear" w:color="auto" w:fill="FFFFFF"/>
        </w:rPr>
        <w:t>The existing data on ALEC’s top dono</w:t>
      </w:r>
      <w:r w:rsidR="00CB30D0">
        <w:rPr>
          <w:rFonts w:eastAsia="Times New Roman"/>
          <w:shd w:val="clear" w:color="auto" w:fill="FFFFFF"/>
        </w:rPr>
        <w:t>rs were</w:t>
      </w:r>
      <w:r w:rsidR="005C01D6">
        <w:rPr>
          <w:rFonts w:eastAsia="Times New Roman"/>
          <w:shd w:val="clear" w:color="auto" w:fill="FFFFFF"/>
        </w:rPr>
        <w:t xml:space="preserve"> gathered</w:t>
      </w:r>
      <w:r w:rsidR="00CB30D0">
        <w:rPr>
          <w:rFonts w:eastAsia="Times New Roman"/>
          <w:shd w:val="clear" w:color="auto" w:fill="FFFFFF"/>
        </w:rPr>
        <w:t xml:space="preserve"> from </w:t>
      </w:r>
      <w:hyperlink r:id="rId7" w:history="1">
        <w:r w:rsidR="00CB30D0" w:rsidRPr="0058032A">
          <w:rPr>
            <w:rStyle w:val="Hyperlink"/>
            <w:rFonts w:eastAsia="Times New Roman"/>
            <w:shd w:val="clear" w:color="auto" w:fill="FFFFFF"/>
          </w:rPr>
          <w:t>www.conservativetransparency.org</w:t>
        </w:r>
      </w:hyperlink>
      <w:r w:rsidR="00CB30D0">
        <w:rPr>
          <w:rFonts w:eastAsia="Times New Roman"/>
          <w:shd w:val="clear" w:color="auto" w:fill="FFFFFF"/>
        </w:rPr>
        <w:t xml:space="preserve">.  Note that </w:t>
      </w:r>
      <w:r w:rsidR="005C16A9">
        <w:rPr>
          <w:rFonts w:eastAsia="Times New Roman"/>
          <w:shd w:val="clear" w:color="auto" w:fill="FFFFFF"/>
        </w:rPr>
        <w:t xml:space="preserve">Donors Capital Fund and </w:t>
      </w:r>
      <w:proofErr w:type="spellStart"/>
      <w:r w:rsidR="005C16A9">
        <w:rPr>
          <w:rFonts w:eastAsia="Times New Roman"/>
          <w:shd w:val="clear" w:color="auto" w:fill="FFFFFF"/>
        </w:rPr>
        <w:t>DonorsTrust</w:t>
      </w:r>
      <w:proofErr w:type="spellEnd"/>
      <w:r w:rsidR="005C16A9">
        <w:rPr>
          <w:rFonts w:eastAsia="Times New Roman"/>
          <w:shd w:val="clear" w:color="auto" w:fill="FFFFFF"/>
        </w:rPr>
        <w:t xml:space="preserve"> are not among the top ten contributors</w:t>
      </w:r>
      <w:r w:rsidR="00CB30D0">
        <w:rPr>
          <w:rFonts w:eastAsia="Times New Roman"/>
          <w:shd w:val="clear" w:color="auto" w:fill="FFFFFF"/>
        </w:rPr>
        <w:t xml:space="preserve"> to ALEC. However, given their increasing prominence in the policy planning network (see below), we include them in our table. The data are</w:t>
      </w:r>
      <w:r w:rsidR="0047799B">
        <w:rPr>
          <w:rFonts w:eastAsia="Times New Roman"/>
          <w:shd w:val="clear" w:color="auto" w:fill="FFFFFF"/>
        </w:rPr>
        <w:t xml:space="preserve"> presented in a table format to reveal the exact dollar amounts contributed and also in a graph format for a more v</w:t>
      </w:r>
      <w:r w:rsidR="00CB30D0">
        <w:rPr>
          <w:rFonts w:eastAsia="Times New Roman"/>
          <w:shd w:val="clear" w:color="auto" w:fill="FFFFFF"/>
        </w:rPr>
        <w:t xml:space="preserve">isual representation. </w:t>
      </w:r>
    </w:p>
    <w:p w:rsidR="00AD2B39" w:rsidRDefault="005C01D6" w:rsidP="0047799B">
      <w:pPr>
        <w:spacing w:line="480" w:lineRule="auto"/>
        <w:ind w:firstLine="720"/>
        <w:rPr>
          <w:rFonts w:eastAsia="Times New Roman"/>
          <w:shd w:val="clear" w:color="auto" w:fill="FFFFFF"/>
        </w:rPr>
      </w:pPr>
      <w:r>
        <w:rPr>
          <w:rFonts w:eastAsia="Times New Roman"/>
          <w:shd w:val="clear" w:color="auto" w:fill="FFFFFF"/>
        </w:rPr>
        <w:t xml:space="preserve"> </w:t>
      </w:r>
      <w:r w:rsidR="00E273CF">
        <w:rPr>
          <w:rFonts w:eastAsia="Times New Roman"/>
          <w:shd w:val="clear" w:color="auto" w:fill="FFFFFF"/>
        </w:rPr>
        <w:t>Most of these foundations</w:t>
      </w:r>
      <w:r w:rsidR="00F9710B">
        <w:rPr>
          <w:rFonts w:eastAsia="Times New Roman"/>
          <w:shd w:val="clear" w:color="auto" w:fill="FFFFFF"/>
        </w:rPr>
        <w:t>, such as the Castle Rock Foundation</w:t>
      </w:r>
      <w:r w:rsidR="00CB30D0">
        <w:rPr>
          <w:rFonts w:eastAsia="Times New Roman"/>
          <w:shd w:val="clear" w:color="auto" w:fill="FFFFFF"/>
        </w:rPr>
        <w:t xml:space="preserve"> (linked to the Coors family)</w:t>
      </w:r>
      <w:r w:rsidR="00F9710B">
        <w:rPr>
          <w:rFonts w:eastAsia="Times New Roman"/>
          <w:shd w:val="clear" w:color="auto" w:fill="FFFFFF"/>
        </w:rPr>
        <w:t>, Searle Freedom trust,</w:t>
      </w:r>
      <w:r w:rsidR="00E273CF">
        <w:rPr>
          <w:rFonts w:eastAsia="Times New Roman"/>
          <w:shd w:val="clear" w:color="auto" w:fill="FFFFFF"/>
        </w:rPr>
        <w:t xml:space="preserve"> and the</w:t>
      </w:r>
      <w:r w:rsidR="00F9710B">
        <w:rPr>
          <w:rFonts w:eastAsia="Times New Roman"/>
          <w:shd w:val="clear" w:color="auto" w:fill="FFFFFF"/>
        </w:rPr>
        <w:t xml:space="preserve"> Claude R. </w:t>
      </w:r>
      <w:proofErr w:type="spellStart"/>
      <w:r w:rsidR="00F9710B">
        <w:rPr>
          <w:rFonts w:eastAsia="Times New Roman"/>
          <w:shd w:val="clear" w:color="auto" w:fill="FFFFFF"/>
        </w:rPr>
        <w:t>Lambe</w:t>
      </w:r>
      <w:proofErr w:type="spellEnd"/>
      <w:r w:rsidR="00F9710B">
        <w:rPr>
          <w:rFonts w:eastAsia="Times New Roman"/>
          <w:shd w:val="clear" w:color="auto" w:fill="FFFFFF"/>
        </w:rPr>
        <w:t xml:space="preserve"> Charitable Foundation</w:t>
      </w:r>
      <w:r w:rsidR="00C92CA6">
        <w:rPr>
          <w:rFonts w:eastAsia="Times New Roman"/>
          <w:shd w:val="clear" w:color="auto" w:fill="FFFFFF"/>
        </w:rPr>
        <w:t xml:space="preserve"> (Charles Koch’s foundation)</w:t>
      </w:r>
      <w:r w:rsidR="00F9710B">
        <w:rPr>
          <w:rFonts w:eastAsia="Times New Roman"/>
          <w:shd w:val="clear" w:color="auto" w:fill="FFFFFF"/>
        </w:rPr>
        <w:t xml:space="preserve"> </w:t>
      </w:r>
      <w:r w:rsidR="00E273CF">
        <w:rPr>
          <w:rFonts w:eastAsia="Times New Roman"/>
          <w:shd w:val="clear" w:color="auto" w:fill="FFFFFF"/>
        </w:rPr>
        <w:t>represent free market interests</w:t>
      </w:r>
      <w:r w:rsidR="00E84103">
        <w:rPr>
          <w:rFonts w:eastAsia="Times New Roman"/>
          <w:shd w:val="clear" w:color="auto" w:fill="FFFFFF"/>
        </w:rPr>
        <w:t xml:space="preserve"> (which, of course, include de-regulation)</w:t>
      </w:r>
      <w:r w:rsidR="00E273CF">
        <w:rPr>
          <w:rFonts w:eastAsia="Times New Roman"/>
          <w:shd w:val="clear" w:color="auto" w:fill="FFFFFF"/>
        </w:rPr>
        <w:t xml:space="preserve">. </w:t>
      </w:r>
      <w:r w:rsidR="00E84103">
        <w:rPr>
          <w:rFonts w:eastAsia="Times New Roman"/>
          <w:shd w:val="clear" w:color="auto" w:fill="FFFFFF"/>
        </w:rPr>
        <w:t xml:space="preserve">Others like Exxon Mobil and </w:t>
      </w:r>
      <w:proofErr w:type="spellStart"/>
      <w:r w:rsidR="00E84103">
        <w:rPr>
          <w:rFonts w:eastAsia="Times New Roman"/>
          <w:shd w:val="clear" w:color="auto" w:fill="FFFFFF"/>
        </w:rPr>
        <w:t>PhRMA</w:t>
      </w:r>
      <w:proofErr w:type="spellEnd"/>
      <w:r w:rsidR="00E84103">
        <w:rPr>
          <w:rFonts w:eastAsia="Times New Roman"/>
          <w:shd w:val="clear" w:color="auto" w:fill="FFFFFF"/>
        </w:rPr>
        <w:t xml:space="preserve"> represent direct corporate interests. </w:t>
      </w:r>
      <w:r w:rsidR="00912EC2">
        <w:rPr>
          <w:rFonts w:eastAsia="Times New Roman"/>
          <w:shd w:val="clear" w:color="auto" w:fill="FFFFFF"/>
        </w:rPr>
        <w:t xml:space="preserve">One of </w:t>
      </w:r>
      <w:proofErr w:type="spellStart"/>
      <w:r w:rsidR="00912EC2">
        <w:rPr>
          <w:rFonts w:eastAsia="Times New Roman"/>
          <w:shd w:val="clear" w:color="auto" w:fill="FFFFFF"/>
        </w:rPr>
        <w:t>PhRMA’s</w:t>
      </w:r>
      <w:proofErr w:type="spellEnd"/>
      <w:r w:rsidR="00912EC2">
        <w:rPr>
          <w:rFonts w:eastAsia="Times New Roman"/>
          <w:shd w:val="clear" w:color="auto" w:fill="FFFFFF"/>
        </w:rPr>
        <w:t xml:space="preserve"> model bills proposed a reduced liability for</w:t>
      </w:r>
      <w:r w:rsidR="007F02D1">
        <w:rPr>
          <w:rFonts w:eastAsia="Times New Roman"/>
          <w:shd w:val="clear" w:color="auto" w:fill="FFFFFF"/>
        </w:rPr>
        <w:t xml:space="preserve"> pharmaceutical companies</w:t>
      </w:r>
      <w:r w:rsidR="00912EC2">
        <w:rPr>
          <w:rFonts w:eastAsia="Times New Roman"/>
          <w:shd w:val="clear" w:color="auto" w:fill="FFFFFF"/>
        </w:rPr>
        <w:t xml:space="preserve"> releasing potentially dangerous drugs into the market</w:t>
      </w:r>
      <w:r w:rsidR="00CB30D0">
        <w:rPr>
          <w:rFonts w:eastAsia="Times New Roman"/>
          <w:shd w:val="clear" w:color="auto" w:fill="FFFFFF"/>
        </w:rPr>
        <w:t>.</w:t>
      </w:r>
      <w:r w:rsidR="00912EC2">
        <w:rPr>
          <w:rStyle w:val="FootnoteReference"/>
          <w:rFonts w:eastAsia="Times New Roman"/>
          <w:shd w:val="clear" w:color="auto" w:fill="FFFFFF"/>
        </w:rPr>
        <w:footnoteReference w:id="11"/>
      </w:r>
    </w:p>
    <w:tbl>
      <w:tblPr>
        <w:tblW w:w="5505" w:type="dxa"/>
        <w:tblInd w:w="93" w:type="dxa"/>
        <w:tblLayout w:type="fixed"/>
        <w:tblLook w:val="04A0" w:firstRow="1" w:lastRow="0" w:firstColumn="1" w:lastColumn="0" w:noHBand="0" w:noVBand="1"/>
      </w:tblPr>
      <w:tblGrid>
        <w:gridCol w:w="3684"/>
        <w:gridCol w:w="1821"/>
      </w:tblGrid>
      <w:tr w:rsidR="005C16A9" w:rsidRPr="005C16A9" w:rsidTr="005C16A9">
        <w:trPr>
          <w:trHeight w:val="300"/>
        </w:trPr>
        <w:tc>
          <w:tcPr>
            <w:tcW w:w="368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rPr>
            </w:pPr>
            <w:r w:rsidRPr="005C16A9">
              <w:rPr>
                <w:rFonts w:ascii="Calibri" w:eastAsia="Times New Roman" w:hAnsi="Calibri"/>
                <w:color w:val="000000"/>
              </w:rPr>
              <w:t>Donor</w:t>
            </w:r>
          </w:p>
        </w:tc>
        <w:tc>
          <w:tcPr>
            <w:tcW w:w="1821" w:type="dxa"/>
            <w:tcBorders>
              <w:top w:val="single" w:sz="4" w:space="0" w:color="auto"/>
              <w:left w:val="nil"/>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rPr>
            </w:pPr>
            <w:r w:rsidRPr="005C16A9">
              <w:rPr>
                <w:rFonts w:ascii="Calibri" w:eastAsia="Times New Roman" w:hAnsi="Calibri"/>
                <w:color w:val="000000"/>
              </w:rPr>
              <w:t>$ Contributed</w:t>
            </w:r>
          </w:p>
        </w:tc>
      </w:tr>
      <w:tr w:rsidR="005C16A9" w:rsidRPr="005C16A9" w:rsidTr="005C16A9">
        <w:trPr>
          <w:trHeight w:val="300"/>
        </w:trPr>
        <w:tc>
          <w:tcPr>
            <w:tcW w:w="3684" w:type="dxa"/>
            <w:tcBorders>
              <w:top w:val="nil"/>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sz w:val="20"/>
                <w:szCs w:val="20"/>
              </w:rPr>
            </w:pPr>
            <w:r w:rsidRPr="005C16A9">
              <w:rPr>
                <w:rFonts w:ascii="Calibri" w:eastAsia="Times New Roman" w:hAnsi="Calibri"/>
                <w:color w:val="000000"/>
                <w:sz w:val="20"/>
                <w:szCs w:val="20"/>
              </w:rPr>
              <w:t>Exxon Mobil</w:t>
            </w:r>
          </w:p>
        </w:tc>
        <w:tc>
          <w:tcPr>
            <w:tcW w:w="1821" w:type="dxa"/>
            <w:tcBorders>
              <w:top w:val="nil"/>
              <w:left w:val="nil"/>
              <w:bottom w:val="single" w:sz="4" w:space="0" w:color="auto"/>
              <w:right w:val="single" w:sz="4" w:space="0" w:color="auto"/>
            </w:tcBorders>
            <w:shd w:val="clear" w:color="auto" w:fill="auto"/>
            <w:noWrap/>
            <w:vAlign w:val="bottom"/>
            <w:hideMark/>
          </w:tcPr>
          <w:p w:rsidR="005C16A9" w:rsidRPr="005C16A9" w:rsidRDefault="005C16A9" w:rsidP="005C16A9">
            <w:pPr>
              <w:jc w:val="right"/>
              <w:rPr>
                <w:rFonts w:ascii="Calibri" w:eastAsia="Times New Roman" w:hAnsi="Calibri"/>
                <w:color w:val="000000"/>
                <w:sz w:val="20"/>
                <w:szCs w:val="20"/>
              </w:rPr>
            </w:pPr>
            <w:r w:rsidRPr="005C16A9">
              <w:rPr>
                <w:rFonts w:ascii="Calibri" w:eastAsia="Times New Roman" w:hAnsi="Calibri"/>
                <w:color w:val="000000"/>
                <w:sz w:val="20"/>
                <w:szCs w:val="20"/>
              </w:rPr>
              <w:t xml:space="preserve">$1,454,700 </w:t>
            </w:r>
          </w:p>
        </w:tc>
      </w:tr>
      <w:tr w:rsidR="005C16A9" w:rsidRPr="005C16A9" w:rsidTr="005C16A9">
        <w:trPr>
          <w:trHeight w:val="300"/>
        </w:trPr>
        <w:tc>
          <w:tcPr>
            <w:tcW w:w="3684" w:type="dxa"/>
            <w:tcBorders>
              <w:top w:val="nil"/>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sz w:val="20"/>
                <w:szCs w:val="20"/>
              </w:rPr>
            </w:pPr>
            <w:proofErr w:type="spellStart"/>
            <w:r w:rsidRPr="005C16A9">
              <w:rPr>
                <w:rFonts w:ascii="Calibri" w:eastAsia="Times New Roman" w:hAnsi="Calibri"/>
                <w:color w:val="000000"/>
                <w:sz w:val="20"/>
                <w:szCs w:val="20"/>
              </w:rPr>
              <w:t>PhRMA</w:t>
            </w:r>
            <w:proofErr w:type="spellEnd"/>
          </w:p>
        </w:tc>
        <w:tc>
          <w:tcPr>
            <w:tcW w:w="1821" w:type="dxa"/>
            <w:tcBorders>
              <w:top w:val="nil"/>
              <w:left w:val="nil"/>
              <w:bottom w:val="single" w:sz="4" w:space="0" w:color="auto"/>
              <w:right w:val="single" w:sz="4" w:space="0" w:color="auto"/>
            </w:tcBorders>
            <w:shd w:val="clear" w:color="auto" w:fill="auto"/>
            <w:noWrap/>
            <w:vAlign w:val="bottom"/>
            <w:hideMark/>
          </w:tcPr>
          <w:p w:rsidR="005C16A9" w:rsidRPr="005C16A9" w:rsidRDefault="005C16A9" w:rsidP="005C16A9">
            <w:pPr>
              <w:jc w:val="right"/>
              <w:rPr>
                <w:rFonts w:ascii="Calibri" w:eastAsia="Times New Roman" w:hAnsi="Calibri"/>
                <w:color w:val="000000"/>
                <w:sz w:val="20"/>
                <w:szCs w:val="20"/>
              </w:rPr>
            </w:pPr>
            <w:r w:rsidRPr="005C16A9">
              <w:rPr>
                <w:rFonts w:ascii="Calibri" w:eastAsia="Times New Roman" w:hAnsi="Calibri"/>
                <w:color w:val="000000"/>
                <w:sz w:val="20"/>
                <w:szCs w:val="20"/>
              </w:rPr>
              <w:t xml:space="preserve">$993,217 </w:t>
            </w:r>
          </w:p>
        </w:tc>
      </w:tr>
      <w:tr w:rsidR="005C16A9" w:rsidRPr="005C16A9" w:rsidTr="005C16A9">
        <w:trPr>
          <w:trHeight w:val="300"/>
        </w:trPr>
        <w:tc>
          <w:tcPr>
            <w:tcW w:w="3684" w:type="dxa"/>
            <w:tcBorders>
              <w:top w:val="nil"/>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sz w:val="20"/>
                <w:szCs w:val="20"/>
              </w:rPr>
            </w:pPr>
            <w:r w:rsidRPr="005C16A9">
              <w:rPr>
                <w:rFonts w:ascii="Calibri" w:eastAsia="Times New Roman" w:hAnsi="Calibri"/>
                <w:color w:val="000000"/>
                <w:sz w:val="20"/>
                <w:szCs w:val="20"/>
              </w:rPr>
              <w:t>Searle Freedom Trust</w:t>
            </w:r>
          </w:p>
        </w:tc>
        <w:tc>
          <w:tcPr>
            <w:tcW w:w="1821" w:type="dxa"/>
            <w:tcBorders>
              <w:top w:val="nil"/>
              <w:left w:val="nil"/>
              <w:bottom w:val="single" w:sz="4" w:space="0" w:color="auto"/>
              <w:right w:val="single" w:sz="4" w:space="0" w:color="auto"/>
            </w:tcBorders>
            <w:shd w:val="clear" w:color="auto" w:fill="auto"/>
            <w:noWrap/>
            <w:vAlign w:val="bottom"/>
            <w:hideMark/>
          </w:tcPr>
          <w:p w:rsidR="005C16A9" w:rsidRPr="005C16A9" w:rsidRDefault="005C16A9" w:rsidP="005C16A9">
            <w:pPr>
              <w:jc w:val="right"/>
              <w:rPr>
                <w:rFonts w:ascii="Calibri" w:eastAsia="Times New Roman" w:hAnsi="Calibri"/>
                <w:color w:val="000000"/>
                <w:sz w:val="20"/>
                <w:szCs w:val="20"/>
              </w:rPr>
            </w:pPr>
            <w:r w:rsidRPr="005C16A9">
              <w:rPr>
                <w:rFonts w:ascii="Calibri" w:eastAsia="Times New Roman" w:hAnsi="Calibri"/>
                <w:color w:val="000000"/>
                <w:sz w:val="20"/>
                <w:szCs w:val="20"/>
              </w:rPr>
              <w:t xml:space="preserve">$770,000 </w:t>
            </w:r>
          </w:p>
        </w:tc>
      </w:tr>
      <w:tr w:rsidR="005C16A9" w:rsidRPr="005C16A9" w:rsidTr="005C16A9">
        <w:trPr>
          <w:trHeight w:val="300"/>
        </w:trPr>
        <w:tc>
          <w:tcPr>
            <w:tcW w:w="3684" w:type="dxa"/>
            <w:tcBorders>
              <w:top w:val="nil"/>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sz w:val="20"/>
                <w:szCs w:val="20"/>
              </w:rPr>
            </w:pPr>
            <w:r w:rsidRPr="005C16A9">
              <w:rPr>
                <w:rFonts w:ascii="Calibri" w:eastAsia="Times New Roman" w:hAnsi="Calibri"/>
                <w:color w:val="000000"/>
                <w:sz w:val="20"/>
                <w:szCs w:val="20"/>
              </w:rPr>
              <w:t xml:space="preserve">Claude R. </w:t>
            </w:r>
            <w:proofErr w:type="spellStart"/>
            <w:r w:rsidRPr="005C16A9">
              <w:rPr>
                <w:rFonts w:ascii="Calibri" w:eastAsia="Times New Roman" w:hAnsi="Calibri"/>
                <w:color w:val="000000"/>
                <w:sz w:val="20"/>
                <w:szCs w:val="20"/>
              </w:rPr>
              <w:t>Lambe</w:t>
            </w:r>
            <w:proofErr w:type="spellEnd"/>
            <w:r w:rsidRPr="005C16A9">
              <w:rPr>
                <w:rFonts w:ascii="Calibri" w:eastAsia="Times New Roman" w:hAnsi="Calibri"/>
                <w:color w:val="000000"/>
                <w:sz w:val="20"/>
                <w:szCs w:val="20"/>
              </w:rPr>
              <w:t xml:space="preserve"> Charitable Foundation</w:t>
            </w:r>
          </w:p>
        </w:tc>
        <w:tc>
          <w:tcPr>
            <w:tcW w:w="1821" w:type="dxa"/>
            <w:tcBorders>
              <w:top w:val="nil"/>
              <w:left w:val="nil"/>
              <w:bottom w:val="single" w:sz="4" w:space="0" w:color="auto"/>
              <w:right w:val="single" w:sz="4" w:space="0" w:color="auto"/>
            </w:tcBorders>
            <w:shd w:val="clear" w:color="auto" w:fill="auto"/>
            <w:noWrap/>
            <w:vAlign w:val="bottom"/>
            <w:hideMark/>
          </w:tcPr>
          <w:p w:rsidR="005C16A9" w:rsidRPr="005C16A9" w:rsidRDefault="005C16A9" w:rsidP="005C16A9">
            <w:pPr>
              <w:jc w:val="right"/>
              <w:rPr>
                <w:rFonts w:ascii="Calibri" w:eastAsia="Times New Roman" w:hAnsi="Calibri"/>
                <w:color w:val="000000"/>
                <w:sz w:val="20"/>
                <w:szCs w:val="20"/>
              </w:rPr>
            </w:pPr>
            <w:r w:rsidRPr="005C16A9">
              <w:rPr>
                <w:rFonts w:ascii="Calibri" w:eastAsia="Times New Roman" w:hAnsi="Calibri"/>
                <w:color w:val="000000"/>
                <w:sz w:val="20"/>
                <w:szCs w:val="20"/>
              </w:rPr>
              <w:t xml:space="preserve">$630,000 </w:t>
            </w:r>
          </w:p>
        </w:tc>
      </w:tr>
      <w:tr w:rsidR="005C16A9" w:rsidRPr="005C16A9" w:rsidTr="005C16A9">
        <w:trPr>
          <w:trHeight w:val="300"/>
        </w:trPr>
        <w:tc>
          <w:tcPr>
            <w:tcW w:w="3684" w:type="dxa"/>
            <w:tcBorders>
              <w:top w:val="nil"/>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sz w:val="20"/>
                <w:szCs w:val="20"/>
              </w:rPr>
            </w:pPr>
            <w:r w:rsidRPr="005C16A9">
              <w:rPr>
                <w:rFonts w:ascii="Calibri" w:eastAsia="Times New Roman" w:hAnsi="Calibri"/>
                <w:color w:val="000000"/>
                <w:sz w:val="20"/>
                <w:szCs w:val="20"/>
              </w:rPr>
              <w:t>Allegheny Foundation</w:t>
            </w:r>
          </w:p>
        </w:tc>
        <w:tc>
          <w:tcPr>
            <w:tcW w:w="1821" w:type="dxa"/>
            <w:tcBorders>
              <w:top w:val="nil"/>
              <w:left w:val="nil"/>
              <w:bottom w:val="single" w:sz="4" w:space="0" w:color="auto"/>
              <w:right w:val="single" w:sz="4" w:space="0" w:color="auto"/>
            </w:tcBorders>
            <w:shd w:val="clear" w:color="auto" w:fill="auto"/>
            <w:noWrap/>
            <w:vAlign w:val="bottom"/>
            <w:hideMark/>
          </w:tcPr>
          <w:p w:rsidR="005C16A9" w:rsidRPr="005C16A9" w:rsidRDefault="005C16A9" w:rsidP="005C16A9">
            <w:pPr>
              <w:jc w:val="right"/>
              <w:rPr>
                <w:rFonts w:ascii="Calibri" w:eastAsia="Times New Roman" w:hAnsi="Calibri"/>
                <w:color w:val="000000"/>
                <w:sz w:val="20"/>
                <w:szCs w:val="20"/>
              </w:rPr>
            </w:pPr>
            <w:r w:rsidRPr="005C16A9">
              <w:rPr>
                <w:rFonts w:ascii="Calibri" w:eastAsia="Times New Roman" w:hAnsi="Calibri"/>
                <w:color w:val="000000"/>
                <w:sz w:val="20"/>
                <w:szCs w:val="20"/>
              </w:rPr>
              <w:t xml:space="preserve">$495,000 </w:t>
            </w:r>
          </w:p>
        </w:tc>
      </w:tr>
      <w:tr w:rsidR="005C16A9" w:rsidRPr="005C16A9" w:rsidTr="005C16A9">
        <w:trPr>
          <w:trHeight w:val="300"/>
        </w:trPr>
        <w:tc>
          <w:tcPr>
            <w:tcW w:w="3684" w:type="dxa"/>
            <w:tcBorders>
              <w:top w:val="nil"/>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sz w:val="20"/>
                <w:szCs w:val="20"/>
              </w:rPr>
            </w:pPr>
            <w:r w:rsidRPr="005C16A9">
              <w:rPr>
                <w:rFonts w:ascii="Calibri" w:eastAsia="Times New Roman" w:hAnsi="Calibri"/>
                <w:color w:val="000000"/>
                <w:sz w:val="20"/>
                <w:szCs w:val="20"/>
              </w:rPr>
              <w:t>Castle Rock Foundation</w:t>
            </w:r>
          </w:p>
        </w:tc>
        <w:tc>
          <w:tcPr>
            <w:tcW w:w="1821" w:type="dxa"/>
            <w:tcBorders>
              <w:top w:val="nil"/>
              <w:left w:val="nil"/>
              <w:bottom w:val="single" w:sz="4" w:space="0" w:color="auto"/>
              <w:right w:val="single" w:sz="4" w:space="0" w:color="auto"/>
            </w:tcBorders>
            <w:shd w:val="clear" w:color="auto" w:fill="auto"/>
            <w:noWrap/>
            <w:vAlign w:val="bottom"/>
            <w:hideMark/>
          </w:tcPr>
          <w:p w:rsidR="005C16A9" w:rsidRPr="005C16A9" w:rsidRDefault="005C16A9" w:rsidP="005C16A9">
            <w:pPr>
              <w:jc w:val="right"/>
              <w:rPr>
                <w:rFonts w:ascii="Calibri" w:eastAsia="Times New Roman" w:hAnsi="Calibri"/>
                <w:color w:val="000000"/>
                <w:sz w:val="20"/>
                <w:szCs w:val="20"/>
              </w:rPr>
            </w:pPr>
            <w:r w:rsidRPr="005C16A9">
              <w:rPr>
                <w:rFonts w:ascii="Calibri" w:eastAsia="Times New Roman" w:hAnsi="Calibri"/>
                <w:color w:val="000000"/>
                <w:sz w:val="20"/>
                <w:szCs w:val="20"/>
              </w:rPr>
              <w:t xml:space="preserve">$300,000 </w:t>
            </w:r>
          </w:p>
        </w:tc>
      </w:tr>
      <w:tr w:rsidR="005C16A9" w:rsidRPr="005C16A9" w:rsidTr="005C16A9">
        <w:trPr>
          <w:trHeight w:val="300"/>
        </w:trPr>
        <w:tc>
          <w:tcPr>
            <w:tcW w:w="3684" w:type="dxa"/>
            <w:tcBorders>
              <w:top w:val="nil"/>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sz w:val="20"/>
                <w:szCs w:val="20"/>
              </w:rPr>
            </w:pPr>
            <w:r w:rsidRPr="005C16A9">
              <w:rPr>
                <w:rFonts w:ascii="Calibri" w:eastAsia="Times New Roman" w:hAnsi="Calibri"/>
                <w:color w:val="000000"/>
                <w:sz w:val="20"/>
                <w:szCs w:val="20"/>
              </w:rPr>
              <w:t>Jaquelin Hume Foundation</w:t>
            </w:r>
          </w:p>
        </w:tc>
        <w:tc>
          <w:tcPr>
            <w:tcW w:w="1821" w:type="dxa"/>
            <w:tcBorders>
              <w:top w:val="nil"/>
              <w:left w:val="nil"/>
              <w:bottom w:val="single" w:sz="4" w:space="0" w:color="auto"/>
              <w:right w:val="single" w:sz="4" w:space="0" w:color="auto"/>
            </w:tcBorders>
            <w:shd w:val="clear" w:color="auto" w:fill="auto"/>
            <w:noWrap/>
            <w:vAlign w:val="bottom"/>
            <w:hideMark/>
          </w:tcPr>
          <w:p w:rsidR="005C16A9" w:rsidRPr="005C16A9" w:rsidRDefault="005C16A9" w:rsidP="005C16A9">
            <w:pPr>
              <w:jc w:val="right"/>
              <w:rPr>
                <w:rFonts w:ascii="Calibri" w:eastAsia="Times New Roman" w:hAnsi="Calibri"/>
                <w:color w:val="000000"/>
                <w:sz w:val="20"/>
                <w:szCs w:val="20"/>
              </w:rPr>
            </w:pPr>
            <w:r w:rsidRPr="005C16A9">
              <w:rPr>
                <w:rFonts w:ascii="Calibri" w:eastAsia="Times New Roman" w:hAnsi="Calibri"/>
                <w:color w:val="000000"/>
                <w:sz w:val="20"/>
                <w:szCs w:val="20"/>
              </w:rPr>
              <w:t xml:space="preserve">$270,000 </w:t>
            </w:r>
          </w:p>
        </w:tc>
      </w:tr>
      <w:tr w:rsidR="005C16A9" w:rsidRPr="005C16A9" w:rsidTr="005C16A9">
        <w:trPr>
          <w:trHeight w:val="300"/>
        </w:trPr>
        <w:tc>
          <w:tcPr>
            <w:tcW w:w="3684" w:type="dxa"/>
            <w:tcBorders>
              <w:top w:val="nil"/>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sz w:val="20"/>
                <w:szCs w:val="20"/>
              </w:rPr>
            </w:pPr>
            <w:r w:rsidRPr="005C16A9">
              <w:rPr>
                <w:rFonts w:ascii="Calibri" w:eastAsia="Times New Roman" w:hAnsi="Calibri"/>
                <w:color w:val="000000"/>
                <w:sz w:val="20"/>
                <w:szCs w:val="20"/>
              </w:rPr>
              <w:t>Friedman Foundation For Educational Choice</w:t>
            </w:r>
          </w:p>
        </w:tc>
        <w:tc>
          <w:tcPr>
            <w:tcW w:w="1821" w:type="dxa"/>
            <w:tcBorders>
              <w:top w:val="nil"/>
              <w:left w:val="nil"/>
              <w:bottom w:val="single" w:sz="4" w:space="0" w:color="auto"/>
              <w:right w:val="single" w:sz="4" w:space="0" w:color="auto"/>
            </w:tcBorders>
            <w:shd w:val="clear" w:color="auto" w:fill="auto"/>
            <w:noWrap/>
            <w:vAlign w:val="bottom"/>
            <w:hideMark/>
          </w:tcPr>
          <w:p w:rsidR="005C16A9" w:rsidRPr="005C16A9" w:rsidRDefault="005C16A9" w:rsidP="005C16A9">
            <w:pPr>
              <w:jc w:val="right"/>
              <w:rPr>
                <w:rFonts w:ascii="Calibri" w:eastAsia="Times New Roman" w:hAnsi="Calibri"/>
                <w:color w:val="000000"/>
                <w:sz w:val="20"/>
                <w:szCs w:val="20"/>
              </w:rPr>
            </w:pPr>
            <w:r w:rsidRPr="005C16A9">
              <w:rPr>
                <w:rFonts w:ascii="Calibri" w:eastAsia="Times New Roman" w:hAnsi="Calibri"/>
                <w:color w:val="000000"/>
                <w:sz w:val="20"/>
                <w:szCs w:val="20"/>
              </w:rPr>
              <w:t xml:space="preserve">$248,000 </w:t>
            </w:r>
          </w:p>
        </w:tc>
      </w:tr>
      <w:tr w:rsidR="005C16A9" w:rsidRPr="005C16A9" w:rsidTr="005C16A9">
        <w:trPr>
          <w:trHeight w:val="300"/>
        </w:trPr>
        <w:tc>
          <w:tcPr>
            <w:tcW w:w="3684" w:type="dxa"/>
            <w:tcBorders>
              <w:top w:val="nil"/>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sz w:val="20"/>
                <w:szCs w:val="20"/>
              </w:rPr>
            </w:pPr>
            <w:r w:rsidRPr="005C16A9">
              <w:rPr>
                <w:rFonts w:ascii="Calibri" w:eastAsia="Times New Roman" w:hAnsi="Calibri"/>
                <w:color w:val="000000"/>
                <w:sz w:val="20"/>
                <w:szCs w:val="20"/>
              </w:rPr>
              <w:t xml:space="preserve">The </w:t>
            </w:r>
            <w:proofErr w:type="spellStart"/>
            <w:r w:rsidRPr="005C16A9">
              <w:rPr>
                <w:rFonts w:ascii="Calibri" w:eastAsia="Times New Roman" w:hAnsi="Calibri"/>
                <w:color w:val="000000"/>
                <w:sz w:val="20"/>
                <w:szCs w:val="20"/>
              </w:rPr>
              <w:t>Lynde</w:t>
            </w:r>
            <w:proofErr w:type="spellEnd"/>
            <w:r w:rsidRPr="005C16A9">
              <w:rPr>
                <w:rFonts w:ascii="Calibri" w:eastAsia="Times New Roman" w:hAnsi="Calibri"/>
                <w:color w:val="000000"/>
                <w:sz w:val="20"/>
                <w:szCs w:val="20"/>
              </w:rPr>
              <w:t xml:space="preserve"> and Harry Bradley Foundation</w:t>
            </w:r>
          </w:p>
        </w:tc>
        <w:tc>
          <w:tcPr>
            <w:tcW w:w="1821" w:type="dxa"/>
            <w:tcBorders>
              <w:top w:val="nil"/>
              <w:left w:val="nil"/>
              <w:bottom w:val="single" w:sz="4" w:space="0" w:color="auto"/>
              <w:right w:val="single" w:sz="4" w:space="0" w:color="auto"/>
            </w:tcBorders>
            <w:shd w:val="clear" w:color="auto" w:fill="auto"/>
            <w:noWrap/>
            <w:vAlign w:val="bottom"/>
            <w:hideMark/>
          </w:tcPr>
          <w:p w:rsidR="005C16A9" w:rsidRPr="005C16A9" w:rsidRDefault="005C16A9" w:rsidP="005C16A9">
            <w:pPr>
              <w:jc w:val="right"/>
              <w:rPr>
                <w:rFonts w:ascii="Calibri" w:eastAsia="Times New Roman" w:hAnsi="Calibri"/>
                <w:color w:val="000000"/>
                <w:sz w:val="20"/>
                <w:szCs w:val="20"/>
              </w:rPr>
            </w:pPr>
            <w:r w:rsidRPr="005C16A9">
              <w:rPr>
                <w:rFonts w:ascii="Calibri" w:eastAsia="Times New Roman" w:hAnsi="Calibri"/>
                <w:color w:val="000000"/>
                <w:sz w:val="20"/>
                <w:szCs w:val="20"/>
              </w:rPr>
              <w:t xml:space="preserve">$220,000 </w:t>
            </w:r>
          </w:p>
        </w:tc>
      </w:tr>
      <w:tr w:rsidR="005C16A9" w:rsidRPr="005C16A9" w:rsidTr="005C16A9">
        <w:trPr>
          <w:trHeight w:val="300"/>
        </w:trPr>
        <w:tc>
          <w:tcPr>
            <w:tcW w:w="3684" w:type="dxa"/>
            <w:tcBorders>
              <w:top w:val="nil"/>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sz w:val="20"/>
                <w:szCs w:val="20"/>
              </w:rPr>
            </w:pPr>
            <w:r w:rsidRPr="005C16A9">
              <w:rPr>
                <w:rFonts w:ascii="Calibri" w:eastAsia="Times New Roman" w:hAnsi="Calibri"/>
                <w:color w:val="000000"/>
                <w:sz w:val="20"/>
                <w:szCs w:val="20"/>
              </w:rPr>
              <w:t>Charles G. Koch Charitable Foundation</w:t>
            </w:r>
          </w:p>
        </w:tc>
        <w:tc>
          <w:tcPr>
            <w:tcW w:w="1821" w:type="dxa"/>
            <w:tcBorders>
              <w:top w:val="nil"/>
              <w:left w:val="nil"/>
              <w:bottom w:val="single" w:sz="4" w:space="0" w:color="auto"/>
              <w:right w:val="single" w:sz="4" w:space="0" w:color="auto"/>
            </w:tcBorders>
            <w:shd w:val="clear" w:color="auto" w:fill="auto"/>
            <w:noWrap/>
            <w:vAlign w:val="bottom"/>
            <w:hideMark/>
          </w:tcPr>
          <w:p w:rsidR="005C16A9" w:rsidRPr="005C16A9" w:rsidRDefault="005C16A9" w:rsidP="005C16A9">
            <w:pPr>
              <w:jc w:val="right"/>
              <w:rPr>
                <w:rFonts w:ascii="Calibri" w:eastAsia="Times New Roman" w:hAnsi="Calibri"/>
                <w:color w:val="000000"/>
                <w:sz w:val="20"/>
                <w:szCs w:val="20"/>
              </w:rPr>
            </w:pPr>
            <w:r w:rsidRPr="005C16A9">
              <w:rPr>
                <w:rFonts w:ascii="Calibri" w:eastAsia="Times New Roman" w:hAnsi="Calibri"/>
                <w:color w:val="000000"/>
                <w:sz w:val="20"/>
                <w:szCs w:val="20"/>
              </w:rPr>
              <w:t xml:space="preserve">$146,958 </w:t>
            </w:r>
          </w:p>
        </w:tc>
      </w:tr>
      <w:tr w:rsidR="005C16A9" w:rsidRPr="005C16A9" w:rsidTr="005C16A9">
        <w:trPr>
          <w:trHeight w:val="300"/>
        </w:trPr>
        <w:tc>
          <w:tcPr>
            <w:tcW w:w="3684" w:type="dxa"/>
            <w:tcBorders>
              <w:top w:val="nil"/>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sz w:val="20"/>
                <w:szCs w:val="20"/>
              </w:rPr>
            </w:pPr>
            <w:r w:rsidRPr="005C16A9">
              <w:rPr>
                <w:rFonts w:ascii="Calibri" w:eastAsia="Times New Roman" w:hAnsi="Calibri"/>
                <w:color w:val="000000"/>
                <w:sz w:val="20"/>
                <w:szCs w:val="20"/>
              </w:rPr>
              <w:t>Donors Capital Fund</w:t>
            </w:r>
          </w:p>
        </w:tc>
        <w:tc>
          <w:tcPr>
            <w:tcW w:w="1821" w:type="dxa"/>
            <w:tcBorders>
              <w:top w:val="nil"/>
              <w:left w:val="nil"/>
              <w:bottom w:val="single" w:sz="4" w:space="0" w:color="auto"/>
              <w:right w:val="single" w:sz="4" w:space="0" w:color="auto"/>
            </w:tcBorders>
            <w:shd w:val="clear" w:color="auto" w:fill="auto"/>
            <w:noWrap/>
            <w:vAlign w:val="bottom"/>
            <w:hideMark/>
          </w:tcPr>
          <w:p w:rsidR="005C16A9" w:rsidRPr="005C16A9" w:rsidRDefault="005C16A9" w:rsidP="005C16A9">
            <w:pPr>
              <w:jc w:val="right"/>
              <w:rPr>
                <w:rFonts w:ascii="Calibri" w:eastAsia="Times New Roman" w:hAnsi="Calibri"/>
                <w:color w:val="000000"/>
                <w:sz w:val="20"/>
                <w:szCs w:val="20"/>
              </w:rPr>
            </w:pPr>
            <w:r w:rsidRPr="005C16A9">
              <w:rPr>
                <w:rFonts w:ascii="Calibri" w:eastAsia="Times New Roman" w:hAnsi="Calibri"/>
                <w:color w:val="000000"/>
                <w:sz w:val="20"/>
                <w:szCs w:val="20"/>
              </w:rPr>
              <w:t xml:space="preserve">$70,500 </w:t>
            </w:r>
          </w:p>
        </w:tc>
      </w:tr>
      <w:tr w:rsidR="005C16A9" w:rsidRPr="005C16A9" w:rsidTr="005C16A9">
        <w:trPr>
          <w:trHeight w:val="260"/>
        </w:trPr>
        <w:tc>
          <w:tcPr>
            <w:tcW w:w="3684" w:type="dxa"/>
            <w:tcBorders>
              <w:top w:val="nil"/>
              <w:left w:val="single" w:sz="4" w:space="0" w:color="auto"/>
              <w:bottom w:val="single" w:sz="4" w:space="0" w:color="auto"/>
              <w:right w:val="single" w:sz="4" w:space="0" w:color="auto"/>
            </w:tcBorders>
            <w:shd w:val="clear" w:color="auto" w:fill="auto"/>
            <w:noWrap/>
            <w:vAlign w:val="bottom"/>
            <w:hideMark/>
          </w:tcPr>
          <w:p w:rsidR="005C16A9" w:rsidRPr="005C16A9" w:rsidRDefault="005C16A9" w:rsidP="005C16A9">
            <w:pPr>
              <w:rPr>
                <w:rFonts w:ascii="Calibri" w:eastAsia="Times New Roman" w:hAnsi="Calibri"/>
                <w:color w:val="000000"/>
                <w:sz w:val="20"/>
                <w:szCs w:val="20"/>
              </w:rPr>
            </w:pPr>
            <w:proofErr w:type="spellStart"/>
            <w:r w:rsidRPr="005C16A9">
              <w:rPr>
                <w:rFonts w:ascii="Calibri" w:eastAsia="Times New Roman" w:hAnsi="Calibri"/>
                <w:color w:val="000000"/>
                <w:sz w:val="20"/>
                <w:szCs w:val="20"/>
              </w:rPr>
              <w:t>DonorsTrust</w:t>
            </w:r>
            <w:proofErr w:type="spellEnd"/>
          </w:p>
        </w:tc>
        <w:tc>
          <w:tcPr>
            <w:tcW w:w="1821" w:type="dxa"/>
            <w:tcBorders>
              <w:top w:val="nil"/>
              <w:left w:val="nil"/>
              <w:bottom w:val="single" w:sz="4" w:space="0" w:color="auto"/>
              <w:right w:val="single" w:sz="4" w:space="0" w:color="auto"/>
            </w:tcBorders>
            <w:shd w:val="clear" w:color="auto" w:fill="auto"/>
            <w:noWrap/>
            <w:vAlign w:val="bottom"/>
            <w:hideMark/>
          </w:tcPr>
          <w:p w:rsidR="005C16A9" w:rsidRPr="005C16A9" w:rsidRDefault="005C16A9" w:rsidP="005C16A9">
            <w:pPr>
              <w:jc w:val="right"/>
              <w:rPr>
                <w:rFonts w:ascii="Calibri" w:eastAsia="Times New Roman" w:hAnsi="Calibri"/>
                <w:color w:val="000000"/>
                <w:sz w:val="20"/>
                <w:szCs w:val="20"/>
              </w:rPr>
            </w:pPr>
            <w:r w:rsidRPr="005C16A9">
              <w:rPr>
                <w:rFonts w:ascii="Calibri" w:eastAsia="Times New Roman" w:hAnsi="Calibri"/>
                <w:color w:val="000000"/>
                <w:sz w:val="20"/>
                <w:szCs w:val="20"/>
              </w:rPr>
              <w:t xml:space="preserve">$25,000 </w:t>
            </w:r>
          </w:p>
        </w:tc>
      </w:tr>
    </w:tbl>
    <w:p w:rsidR="005C16A9" w:rsidRPr="0003536A" w:rsidRDefault="005C16A9" w:rsidP="0003536A">
      <w:pPr>
        <w:spacing w:line="480" w:lineRule="auto"/>
        <w:rPr>
          <w:rFonts w:eastAsia="Times New Roman"/>
          <w:shd w:val="clear" w:color="auto" w:fill="FFFFFF"/>
        </w:rPr>
      </w:pPr>
    </w:p>
    <w:p w:rsidR="00537E1C" w:rsidRDefault="00ED73BD" w:rsidP="00A34DE9">
      <w:pPr>
        <w:spacing w:line="480" w:lineRule="auto"/>
        <w:rPr>
          <w:rFonts w:eastAsia="Times New Roman"/>
          <w:shd w:val="clear" w:color="auto" w:fill="FFFFFF"/>
        </w:rPr>
      </w:pPr>
      <w:r>
        <w:rPr>
          <w:noProof/>
        </w:rPr>
        <w:lastRenderedPageBreak/>
        <w:drawing>
          <wp:inline distT="0" distB="0" distL="0" distR="0">
            <wp:extent cx="5423535" cy="2517140"/>
            <wp:effectExtent l="0" t="0" r="37465" b="2286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08136A">
        <w:rPr>
          <w:rStyle w:val="FootnoteReference"/>
          <w:rFonts w:eastAsia="Times New Roman"/>
          <w:shd w:val="clear" w:color="auto" w:fill="FFFFFF"/>
        </w:rPr>
        <w:footnoteReference w:id="12"/>
      </w:r>
    </w:p>
    <w:p w:rsidR="0003536A" w:rsidRPr="0003536A" w:rsidRDefault="00186413" w:rsidP="00FE69EC">
      <w:pPr>
        <w:spacing w:line="480" w:lineRule="auto"/>
        <w:ind w:firstLine="720"/>
        <w:rPr>
          <w:rFonts w:eastAsia="Times New Roman"/>
        </w:rPr>
      </w:pPr>
      <w:r w:rsidRPr="0003536A">
        <w:rPr>
          <w:rFonts w:eastAsia="Times New Roman"/>
          <w:shd w:val="clear" w:color="auto" w:fill="FFFFFF"/>
        </w:rPr>
        <w:t xml:space="preserve">Much of what ALEC does would be called lobbying by most people. </w:t>
      </w:r>
      <w:r w:rsidR="00DF0156">
        <w:rPr>
          <w:rFonts w:eastAsia="Times New Roman"/>
          <w:shd w:val="clear" w:color="auto" w:fill="FFFFFF"/>
        </w:rPr>
        <w:t>The dictionary definition of lobbying is “to try to influence government officials to make dec</w:t>
      </w:r>
      <w:r w:rsidR="00CB30D0">
        <w:rPr>
          <w:rFonts w:eastAsia="Times New Roman"/>
          <w:shd w:val="clear" w:color="auto" w:fill="FFFFFF"/>
        </w:rPr>
        <w:t>isions for or against something</w:t>
      </w:r>
      <w:r w:rsidR="004A51A7">
        <w:rPr>
          <w:rFonts w:eastAsia="Times New Roman"/>
          <w:shd w:val="clear" w:color="auto" w:fill="FFFFFF"/>
        </w:rPr>
        <w:t>”</w:t>
      </w:r>
      <w:r w:rsidR="00CB30D0">
        <w:rPr>
          <w:rFonts w:eastAsia="Times New Roman"/>
          <w:shd w:val="clear" w:color="auto" w:fill="FFFFFF"/>
        </w:rPr>
        <w:t>.</w:t>
      </w:r>
      <w:r w:rsidR="004A51A7">
        <w:rPr>
          <w:rStyle w:val="FootnoteReference"/>
          <w:rFonts w:eastAsia="Times New Roman"/>
          <w:shd w:val="clear" w:color="auto" w:fill="FFFFFF"/>
        </w:rPr>
        <w:footnoteReference w:id="13"/>
      </w:r>
      <w:r w:rsidR="004A51A7">
        <w:rPr>
          <w:rFonts w:eastAsia="Times New Roman"/>
          <w:shd w:val="clear" w:color="auto" w:fill="FFFFFF"/>
        </w:rPr>
        <w:t xml:space="preserve"> </w:t>
      </w:r>
      <w:r w:rsidRPr="0003536A">
        <w:rPr>
          <w:rFonts w:eastAsia="Times New Roman"/>
          <w:shd w:val="clear" w:color="auto" w:fill="FFFFFF"/>
        </w:rPr>
        <w:t xml:space="preserve">However, this is not what happens, officially. </w:t>
      </w:r>
      <w:r w:rsidR="00D54431" w:rsidRPr="0003536A">
        <w:rPr>
          <w:rFonts w:eastAsia="Times New Roman"/>
          <w:shd w:val="clear" w:color="auto" w:fill="FFFFFF"/>
        </w:rPr>
        <w:t xml:space="preserve">ALEC is </w:t>
      </w:r>
      <w:r w:rsidR="00B26A64" w:rsidRPr="0003536A">
        <w:rPr>
          <w:rFonts w:eastAsia="Times New Roman"/>
          <w:shd w:val="clear" w:color="auto" w:fill="FFFFFF"/>
        </w:rPr>
        <w:t>registered with the IRS as a</w:t>
      </w:r>
      <w:r w:rsidR="00697E53">
        <w:rPr>
          <w:rFonts w:eastAsia="Times New Roman"/>
          <w:shd w:val="clear" w:color="auto" w:fill="FFFFFF"/>
        </w:rPr>
        <w:t xml:space="preserve"> 501 © (3) tax exempt</w:t>
      </w:r>
      <w:r w:rsidR="00B26A64" w:rsidRPr="0003536A">
        <w:rPr>
          <w:rFonts w:eastAsia="Times New Roman"/>
          <w:shd w:val="clear" w:color="auto" w:fill="FFFFFF"/>
        </w:rPr>
        <w:t xml:space="preserve"> non-profit that provides a public service.</w:t>
      </w:r>
      <w:r w:rsidR="007D0C5A" w:rsidRPr="0003536A">
        <w:rPr>
          <w:rFonts w:eastAsia="Times New Roman"/>
          <w:shd w:val="clear" w:color="auto" w:fill="FFFFFF"/>
        </w:rPr>
        <w:t xml:space="preserve"> When state legislators from around the United States meet with ALEC representatives and corporate leaders, it is called an </w:t>
      </w:r>
      <w:r w:rsidR="009765FC">
        <w:rPr>
          <w:rFonts w:eastAsia="Times New Roman"/>
          <w:shd w:val="clear" w:color="auto" w:fill="FFFFFF"/>
        </w:rPr>
        <w:t>“</w:t>
      </w:r>
      <w:r w:rsidR="007D0C5A" w:rsidRPr="0003536A">
        <w:rPr>
          <w:rFonts w:eastAsia="Times New Roman"/>
          <w:shd w:val="clear" w:color="auto" w:fill="FFFFFF"/>
        </w:rPr>
        <w:t>education</w:t>
      </w:r>
      <w:r w:rsidR="009765FC">
        <w:rPr>
          <w:rFonts w:eastAsia="Times New Roman"/>
          <w:shd w:val="clear" w:color="auto" w:fill="FFFFFF"/>
        </w:rPr>
        <w:t>”</w:t>
      </w:r>
      <w:r w:rsidR="007D0C5A" w:rsidRPr="0003536A">
        <w:rPr>
          <w:rFonts w:eastAsia="Times New Roman"/>
          <w:shd w:val="clear" w:color="auto" w:fill="FFFFFF"/>
        </w:rPr>
        <w:t>. They are therefore</w:t>
      </w:r>
      <w:r w:rsidR="0047799B">
        <w:rPr>
          <w:rFonts w:eastAsia="Times New Roman"/>
          <w:shd w:val="clear" w:color="auto" w:fill="FFFFFF"/>
        </w:rPr>
        <w:t>, as an IRS designated</w:t>
      </w:r>
      <w:r w:rsidR="00206D92">
        <w:rPr>
          <w:rFonts w:eastAsia="Times New Roman"/>
          <w:shd w:val="clear" w:color="auto" w:fill="FFFFFF"/>
        </w:rPr>
        <w:t xml:space="preserve"> nonprofit,</w:t>
      </w:r>
      <w:r w:rsidR="007D0C5A" w:rsidRPr="0003536A">
        <w:rPr>
          <w:rFonts w:eastAsia="Times New Roman"/>
          <w:shd w:val="clear" w:color="auto" w:fill="FFFFFF"/>
        </w:rPr>
        <w:t xml:space="preserve"> not required </w:t>
      </w:r>
      <w:proofErr w:type="gramStart"/>
      <w:r w:rsidR="007D0C5A" w:rsidRPr="0003536A">
        <w:rPr>
          <w:rFonts w:eastAsia="Times New Roman"/>
          <w:shd w:val="clear" w:color="auto" w:fill="FFFFFF"/>
        </w:rPr>
        <w:t>to disclose</w:t>
      </w:r>
      <w:proofErr w:type="gramEnd"/>
      <w:r w:rsidR="007D0C5A" w:rsidRPr="0003536A">
        <w:rPr>
          <w:rFonts w:eastAsia="Times New Roman"/>
          <w:shd w:val="clear" w:color="auto" w:fill="FFFFFF"/>
        </w:rPr>
        <w:t xml:space="preserve"> the attendees of their meetings nor where their model legislation comes from.</w:t>
      </w:r>
      <w:r w:rsidR="0003536A" w:rsidRPr="0003536A">
        <w:rPr>
          <w:rFonts w:eastAsia="Times New Roman"/>
          <w:shd w:val="clear" w:color="auto" w:fill="FFFFFF"/>
        </w:rPr>
        <w:t xml:space="preserve"> Furthermore, </w:t>
      </w:r>
      <w:r w:rsidR="0003536A">
        <w:rPr>
          <w:rFonts w:eastAsia="Times New Roman"/>
          <w:shd w:val="clear" w:color="auto" w:fill="FFFFFF"/>
        </w:rPr>
        <w:t>“</w:t>
      </w:r>
      <w:r w:rsidR="0003536A" w:rsidRPr="0003536A">
        <w:rPr>
          <w:rFonts w:eastAsia="Times New Roman"/>
          <w:color w:val="222222"/>
        </w:rPr>
        <w:t>Corporate members can deduct yearly dues, which run up to $25,000—more if they want to sponsor meetings</w:t>
      </w:r>
      <w:r w:rsidR="0003536A">
        <w:rPr>
          <w:rFonts w:eastAsia="Times New Roman"/>
          <w:color w:val="222222"/>
        </w:rPr>
        <w:t>”</w:t>
      </w:r>
      <w:r w:rsidR="00CB30D0">
        <w:rPr>
          <w:rFonts w:eastAsia="Times New Roman"/>
          <w:color w:val="222222"/>
        </w:rPr>
        <w:t>.</w:t>
      </w:r>
      <w:r w:rsidR="0003536A">
        <w:rPr>
          <w:rStyle w:val="FootnoteReference"/>
          <w:rFonts w:eastAsia="Times New Roman"/>
          <w:color w:val="222222"/>
        </w:rPr>
        <w:footnoteReference w:id="14"/>
      </w:r>
      <w:r w:rsidR="00A143E3">
        <w:rPr>
          <w:rFonts w:eastAsia="Times New Roman"/>
          <w:color w:val="222222"/>
        </w:rPr>
        <w:t xml:space="preserve"> </w:t>
      </w:r>
      <w:r w:rsidR="00A10312">
        <w:rPr>
          <w:rFonts w:eastAsia="Times New Roman"/>
          <w:color w:val="222222"/>
        </w:rPr>
        <w:t>Of course, in addition to its corporate members, ALEC must also attract state legislators.</w:t>
      </w:r>
      <w:r w:rsidR="00A143E3">
        <w:rPr>
          <w:rFonts w:eastAsia="Times New Roman"/>
          <w:color w:val="222222"/>
        </w:rPr>
        <w:t xml:space="preserve"> </w:t>
      </w:r>
      <w:r w:rsidR="009765FC">
        <w:rPr>
          <w:rFonts w:eastAsia="Times New Roman"/>
          <w:color w:val="222222"/>
        </w:rPr>
        <w:t>ALEC gives compliant state legislators all-expense-paid trips that can act as</w:t>
      </w:r>
      <w:r w:rsidR="00CA112E">
        <w:rPr>
          <w:rFonts w:eastAsia="Times New Roman"/>
          <w:color w:val="222222"/>
        </w:rPr>
        <w:t xml:space="preserve"> luxurious</w:t>
      </w:r>
      <w:r w:rsidR="009765FC">
        <w:rPr>
          <w:rFonts w:eastAsia="Times New Roman"/>
          <w:color w:val="222222"/>
        </w:rPr>
        <w:t xml:space="preserve"> vacations that they might not otherwise be able to afford. </w:t>
      </w:r>
      <w:r w:rsidR="00CA112E">
        <w:rPr>
          <w:rFonts w:eastAsia="Times New Roman"/>
          <w:color w:val="222222"/>
        </w:rPr>
        <w:t xml:space="preserve">In 2009, ALEC also spent $251,873 on childcare expenses for the children of the state legislators during these trips. </w:t>
      </w:r>
      <w:proofErr w:type="gramStart"/>
      <w:r w:rsidR="00402775">
        <w:rPr>
          <w:rFonts w:eastAsia="Times New Roman"/>
          <w:color w:val="222222"/>
        </w:rPr>
        <w:lastRenderedPageBreak/>
        <w:t xml:space="preserve">More importantly though, </w:t>
      </w:r>
      <w:r w:rsidR="006B7EAD">
        <w:rPr>
          <w:rFonts w:eastAsia="Times New Roman"/>
          <w:color w:val="222222"/>
        </w:rPr>
        <w:t>ALEC provides state legislators with the opportunity to meet corporate donors that could potentially fund their campaigns</w:t>
      </w:r>
      <w:r w:rsidR="00697E53">
        <w:rPr>
          <w:rFonts w:eastAsia="Times New Roman"/>
          <w:color w:val="222222"/>
        </w:rPr>
        <w:t>.</w:t>
      </w:r>
      <w:proofErr w:type="gramEnd"/>
      <w:r w:rsidR="007A210C">
        <w:rPr>
          <w:rStyle w:val="FootnoteReference"/>
          <w:rFonts w:eastAsia="Times New Roman"/>
          <w:color w:val="222222"/>
        </w:rPr>
        <w:footnoteReference w:id="15"/>
      </w:r>
      <w:r w:rsidR="006B7EAD">
        <w:rPr>
          <w:rFonts w:eastAsia="Times New Roman"/>
          <w:color w:val="222222"/>
        </w:rPr>
        <w:t xml:space="preserve"> </w:t>
      </w:r>
      <w:r w:rsidR="003F35F0">
        <w:rPr>
          <w:rFonts w:eastAsia="Times New Roman"/>
          <w:color w:val="222222"/>
        </w:rPr>
        <w:t>Although what ALEC does fits perfectly in the dictionary definition of lobbying, their non-profit status makes everything they</w:t>
      </w:r>
      <w:r w:rsidR="00220B0A">
        <w:rPr>
          <w:rFonts w:eastAsia="Times New Roman"/>
          <w:color w:val="222222"/>
        </w:rPr>
        <w:t xml:space="preserve"> (officially)</w:t>
      </w:r>
      <w:r w:rsidR="003F35F0">
        <w:rPr>
          <w:rFonts w:eastAsia="Times New Roman"/>
          <w:color w:val="222222"/>
        </w:rPr>
        <w:t xml:space="preserve"> do perfectly legal.</w:t>
      </w:r>
    </w:p>
    <w:p w:rsidR="001E2AB4" w:rsidRDefault="003E73D8" w:rsidP="001F3AE9">
      <w:pPr>
        <w:spacing w:line="480" w:lineRule="auto"/>
        <w:rPr>
          <w:rFonts w:eastAsia="Times New Roman"/>
          <w:shd w:val="clear" w:color="auto" w:fill="FFFFFF"/>
        </w:rPr>
      </w:pPr>
      <w:r>
        <w:rPr>
          <w:rFonts w:eastAsia="Times New Roman"/>
          <w:shd w:val="clear" w:color="auto" w:fill="FFFFFF"/>
        </w:rPr>
        <w:tab/>
      </w:r>
      <w:r w:rsidR="008C3377">
        <w:rPr>
          <w:rFonts w:eastAsia="Times New Roman"/>
          <w:shd w:val="clear" w:color="auto" w:fill="FFFFFF"/>
        </w:rPr>
        <w:t>ALEC’s ability to coordinate these meetings</w:t>
      </w:r>
      <w:r w:rsidR="003F35F0">
        <w:rPr>
          <w:rFonts w:eastAsia="Times New Roman"/>
          <w:shd w:val="clear" w:color="auto" w:fill="FFFFFF"/>
        </w:rPr>
        <w:t xml:space="preserve"> between corporate interests and state legislators</w:t>
      </w:r>
      <w:r w:rsidR="008C3377">
        <w:rPr>
          <w:rFonts w:eastAsia="Times New Roman"/>
          <w:shd w:val="clear" w:color="auto" w:fill="FFFFFF"/>
        </w:rPr>
        <w:t xml:space="preserve"> is contingent on the amount of donations they are able to receive. </w:t>
      </w:r>
      <w:r w:rsidR="00054A72">
        <w:rPr>
          <w:rFonts w:eastAsia="Times New Roman"/>
          <w:shd w:val="clear" w:color="auto" w:fill="FFFFFF"/>
        </w:rPr>
        <w:t>Their</w:t>
      </w:r>
      <w:r w:rsidR="00BB669A">
        <w:rPr>
          <w:rFonts w:eastAsia="Times New Roman"/>
          <w:shd w:val="clear" w:color="auto" w:fill="FFFFFF"/>
        </w:rPr>
        <w:t xml:space="preserve"> income has been steadily increasing for the past decade, though with some significant fluctuations. </w:t>
      </w:r>
      <w:r w:rsidR="001E2AB4">
        <w:rPr>
          <w:rFonts w:eastAsia="Times New Roman"/>
          <w:shd w:val="clear" w:color="auto" w:fill="FFFFFF"/>
        </w:rPr>
        <w:t xml:space="preserve">As evidenced in the table below, ALEC’s income, and therefore influence, has nearly doubled since 2002. </w:t>
      </w:r>
    </w:p>
    <w:p w:rsidR="00362AB9" w:rsidRDefault="00054A72" w:rsidP="001F3AE9">
      <w:pPr>
        <w:spacing w:line="480" w:lineRule="auto"/>
        <w:rPr>
          <w:rFonts w:eastAsia="Times New Roman"/>
          <w:shd w:val="clear" w:color="auto" w:fill="FFFFFF"/>
        </w:rPr>
      </w:pPr>
      <w:r>
        <w:rPr>
          <w:noProof/>
        </w:rPr>
        <w:drawing>
          <wp:inline distT="0" distB="0" distL="0" distR="0">
            <wp:extent cx="5766435" cy="2174240"/>
            <wp:effectExtent l="0" t="0" r="24765" b="3556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Pr>
          <w:rStyle w:val="FootnoteReference"/>
          <w:rFonts w:eastAsia="Times New Roman"/>
          <w:shd w:val="clear" w:color="auto" w:fill="FFFFFF"/>
        </w:rPr>
        <w:footnoteReference w:id="16"/>
      </w:r>
      <w:r>
        <w:rPr>
          <w:rFonts w:eastAsia="Times New Roman"/>
          <w:shd w:val="clear" w:color="auto" w:fill="FFFFFF"/>
        </w:rPr>
        <w:tab/>
      </w:r>
    </w:p>
    <w:p w:rsidR="001E2AB4" w:rsidRDefault="003E3330" w:rsidP="00362AB9">
      <w:pPr>
        <w:spacing w:line="480" w:lineRule="auto"/>
        <w:ind w:firstLine="720"/>
        <w:rPr>
          <w:rFonts w:eastAsia="Times New Roman"/>
          <w:shd w:val="clear" w:color="auto" w:fill="FFFFFF"/>
        </w:rPr>
      </w:pPr>
      <w:proofErr w:type="gramStart"/>
      <w:r>
        <w:rPr>
          <w:rFonts w:eastAsia="Times New Roman"/>
          <w:shd w:val="clear" w:color="auto" w:fill="FFFFFF"/>
        </w:rPr>
        <w:t>ALEC’s  power</w:t>
      </w:r>
      <w:proofErr w:type="gramEnd"/>
      <w:r>
        <w:rPr>
          <w:rFonts w:eastAsia="Times New Roman"/>
          <w:shd w:val="clear" w:color="auto" w:fill="FFFFFF"/>
        </w:rPr>
        <w:t xml:space="preserve"> has recently been diminishing somewhat, however. Organizations like Colorofchange.org </w:t>
      </w:r>
      <w:r w:rsidR="00DB677C">
        <w:rPr>
          <w:rFonts w:eastAsia="Times New Roman"/>
          <w:shd w:val="clear" w:color="auto" w:fill="FFFFFF"/>
        </w:rPr>
        <w:t xml:space="preserve">and </w:t>
      </w:r>
      <w:proofErr w:type="spellStart"/>
      <w:r w:rsidR="00DB677C">
        <w:rPr>
          <w:rFonts w:eastAsia="Times New Roman"/>
          <w:shd w:val="clear" w:color="auto" w:fill="FFFFFF"/>
        </w:rPr>
        <w:t>ALECexposed</w:t>
      </w:r>
      <w:proofErr w:type="spellEnd"/>
      <w:r w:rsidR="00DB677C">
        <w:rPr>
          <w:rFonts w:eastAsia="Times New Roman"/>
          <w:shd w:val="clear" w:color="auto" w:fill="FFFFFF"/>
        </w:rPr>
        <w:t xml:space="preserve"> </w:t>
      </w:r>
      <w:r>
        <w:rPr>
          <w:rFonts w:eastAsia="Times New Roman"/>
          <w:shd w:val="clear" w:color="auto" w:fill="FFFFFF"/>
        </w:rPr>
        <w:t>have released many of ALEC’s model bills and have brought more transparency to their processes</w:t>
      </w:r>
      <w:r w:rsidR="00697E53">
        <w:rPr>
          <w:rFonts w:eastAsia="Times New Roman"/>
          <w:shd w:val="clear" w:color="auto" w:fill="FFFFFF"/>
        </w:rPr>
        <w:t>.</w:t>
      </w:r>
      <w:r>
        <w:rPr>
          <w:rStyle w:val="FootnoteReference"/>
          <w:rFonts w:eastAsia="Times New Roman"/>
          <w:shd w:val="clear" w:color="auto" w:fill="FFFFFF"/>
        </w:rPr>
        <w:footnoteReference w:id="17"/>
      </w:r>
      <w:r>
        <w:rPr>
          <w:rFonts w:eastAsia="Times New Roman"/>
          <w:shd w:val="clear" w:color="auto" w:fill="FFFFFF"/>
        </w:rPr>
        <w:t xml:space="preserve"> ALEC also received significant attention after the infamous Trayvon Martin case because of t</w:t>
      </w:r>
      <w:r w:rsidR="008E4003">
        <w:rPr>
          <w:rFonts w:eastAsia="Times New Roman"/>
          <w:shd w:val="clear" w:color="auto" w:fill="FFFFFF"/>
        </w:rPr>
        <w:t>he</w:t>
      </w:r>
      <w:r>
        <w:rPr>
          <w:rFonts w:eastAsia="Times New Roman"/>
          <w:shd w:val="clear" w:color="auto" w:fill="FFFFFF"/>
        </w:rPr>
        <w:t xml:space="preserve"> large role</w:t>
      </w:r>
      <w:r w:rsidR="008E4003">
        <w:rPr>
          <w:rFonts w:eastAsia="Times New Roman"/>
          <w:shd w:val="clear" w:color="auto" w:fill="FFFFFF"/>
        </w:rPr>
        <w:t xml:space="preserve"> they played</w:t>
      </w:r>
      <w:r>
        <w:rPr>
          <w:rFonts w:eastAsia="Times New Roman"/>
          <w:shd w:val="clear" w:color="auto" w:fill="FFFFFF"/>
        </w:rPr>
        <w:t xml:space="preserve"> in the passing of the “stand your ground” law</w:t>
      </w:r>
      <w:r w:rsidR="008E4003">
        <w:rPr>
          <w:rFonts w:eastAsia="Times New Roman"/>
          <w:shd w:val="clear" w:color="auto" w:fill="FFFFFF"/>
        </w:rPr>
        <w:t>.</w:t>
      </w:r>
      <w:r w:rsidR="00A30B25">
        <w:rPr>
          <w:rFonts w:eastAsia="Times New Roman"/>
          <w:shd w:val="clear" w:color="auto" w:fill="FFFFFF"/>
        </w:rPr>
        <w:t xml:space="preserve"> Several corporations including Google, Coca-</w:t>
      </w:r>
      <w:r w:rsidR="00A30B25">
        <w:rPr>
          <w:rFonts w:eastAsia="Times New Roman"/>
          <w:shd w:val="clear" w:color="auto" w:fill="FFFFFF"/>
        </w:rPr>
        <w:lastRenderedPageBreak/>
        <w:t>Cola, Procter &amp; Gamble, McDonald’s and Wendy’s have since cut ties with ALEC</w:t>
      </w:r>
      <w:r w:rsidR="00697E53">
        <w:rPr>
          <w:rFonts w:eastAsia="Times New Roman"/>
          <w:shd w:val="clear" w:color="auto" w:fill="FFFFFF"/>
        </w:rPr>
        <w:t>.</w:t>
      </w:r>
      <w:r w:rsidR="00A30B25">
        <w:rPr>
          <w:rStyle w:val="FootnoteReference"/>
          <w:rFonts w:eastAsia="Times New Roman"/>
          <w:shd w:val="clear" w:color="auto" w:fill="FFFFFF"/>
        </w:rPr>
        <w:footnoteReference w:id="18"/>
      </w:r>
      <w:r w:rsidR="008E4003">
        <w:rPr>
          <w:rFonts w:eastAsia="Times New Roman"/>
          <w:shd w:val="clear" w:color="auto" w:fill="FFFFFF"/>
        </w:rPr>
        <w:t xml:space="preserve"> Perhaps these factors are largely responsible for the decrease in income from 2011-2012 that we see in the table above. </w:t>
      </w:r>
    </w:p>
    <w:p w:rsidR="00056FF0" w:rsidRPr="001F3AE9" w:rsidRDefault="00AC5ED7" w:rsidP="00AC5ED7">
      <w:pPr>
        <w:spacing w:line="480" w:lineRule="auto"/>
        <w:rPr>
          <w:rFonts w:eastAsia="Times New Roman"/>
        </w:rPr>
      </w:pPr>
      <w:r>
        <w:rPr>
          <w:rFonts w:eastAsia="Times New Roman"/>
          <w:shd w:val="clear" w:color="auto" w:fill="FFFFFF"/>
        </w:rPr>
        <w:tab/>
      </w:r>
      <w:proofErr w:type="spellStart"/>
      <w:r w:rsidR="00A11493">
        <w:rPr>
          <w:rFonts w:eastAsia="Times New Roman"/>
          <w:shd w:val="clear" w:color="auto" w:fill="FFFFFF"/>
        </w:rPr>
        <w:t>Domhoff</w:t>
      </w:r>
      <w:proofErr w:type="spellEnd"/>
      <w:r w:rsidR="00A11493">
        <w:rPr>
          <w:rFonts w:eastAsia="Times New Roman"/>
          <w:shd w:val="clear" w:color="auto" w:fill="FFFFFF"/>
        </w:rPr>
        <w:t xml:space="preserve"> introduces us to three indicators at the beginning of his book to determine who has power in America. Who benefits</w:t>
      </w:r>
      <w:proofErr w:type="gramStart"/>
      <w:r w:rsidR="00A11493">
        <w:rPr>
          <w:rFonts w:eastAsia="Times New Roman"/>
          <w:shd w:val="clear" w:color="auto" w:fill="FFFFFF"/>
        </w:rPr>
        <w:t>?,</w:t>
      </w:r>
      <w:proofErr w:type="gramEnd"/>
      <w:r w:rsidR="00A11493">
        <w:rPr>
          <w:rFonts w:eastAsia="Times New Roman"/>
          <w:shd w:val="clear" w:color="auto" w:fill="FFFFFF"/>
        </w:rPr>
        <w:t xml:space="preserve"> who governs?, and who wins?. </w:t>
      </w:r>
    </w:p>
    <w:p w:rsidR="00660F0A" w:rsidRDefault="005A1857" w:rsidP="00090888">
      <w:pPr>
        <w:spacing w:line="480" w:lineRule="auto"/>
      </w:pPr>
      <w:r>
        <w:t>ALEC and its process of passing bills act as strong support for the idea that the answer to the three questions above is</w:t>
      </w:r>
      <w:r w:rsidR="00220B0A">
        <w:t xml:space="preserve"> the same</w:t>
      </w:r>
      <w:r w:rsidR="00975029">
        <w:t>: the corporate elite</w:t>
      </w:r>
      <w:r>
        <w:t>.</w:t>
      </w:r>
      <w:r w:rsidR="00975029">
        <w:t xml:space="preserve"> </w:t>
      </w:r>
      <w:r w:rsidR="00DF0156">
        <w:t xml:space="preserve">ALEC is able to achieve </w:t>
      </w:r>
      <w:proofErr w:type="gramStart"/>
      <w:r w:rsidR="00DF0156">
        <w:t>policy victories (who wins</w:t>
      </w:r>
      <w:proofErr w:type="gramEnd"/>
      <w:r w:rsidR="00DF0156">
        <w:t>?) through the process of working with and having model legislation proposed by their allied state legislators (who governs?) for the general purpose of increasing profits and furthering the interests of corporations (who benefits?).</w:t>
      </w:r>
      <w:r>
        <w:t xml:space="preserve"> </w:t>
      </w:r>
    </w:p>
    <w:p w:rsidR="00CA1340" w:rsidRDefault="00AD72E4" w:rsidP="00090888">
      <w:pPr>
        <w:spacing w:line="480" w:lineRule="auto"/>
      </w:pPr>
      <w:r>
        <w:t xml:space="preserve"> </w:t>
      </w:r>
    </w:p>
    <w:p w:rsidR="00AD72E4" w:rsidRDefault="00E95061" w:rsidP="00090888">
      <w:pPr>
        <w:spacing w:line="480" w:lineRule="auto"/>
      </w:pPr>
      <w:r>
        <w:rPr>
          <w:b/>
        </w:rPr>
        <w:t>Addendum:</w:t>
      </w:r>
    </w:p>
    <w:p w:rsidR="00B528C4" w:rsidRDefault="00E95061" w:rsidP="00090888">
      <w:pPr>
        <w:spacing w:line="480" w:lineRule="auto"/>
      </w:pPr>
      <w:r>
        <w:tab/>
        <w:t>Though ALEC is a significant</w:t>
      </w:r>
      <w:r w:rsidR="00697E53">
        <w:t xml:space="preserve"> part of the state-level policy </w:t>
      </w:r>
      <w:r>
        <w:t>planning networ</w:t>
      </w:r>
      <w:r w:rsidR="00697E53">
        <w:t>k, it is not the only actor</w:t>
      </w:r>
      <w:r>
        <w:t xml:space="preserve">. </w:t>
      </w:r>
      <w:r w:rsidR="003D4533">
        <w:t>The State Policy Network (SPN) is also a very active organization in regards to planning</w:t>
      </w:r>
      <w:r w:rsidR="00B528C4" w:rsidRPr="00B528C4">
        <w:t xml:space="preserve"> </w:t>
      </w:r>
      <w:r w:rsidR="00B528C4">
        <w:t>policy</w:t>
      </w:r>
      <w:r w:rsidR="003D4533">
        <w:t xml:space="preserve"> for corporate </w:t>
      </w:r>
      <w:r w:rsidR="00B528C4">
        <w:t>interests</w:t>
      </w:r>
      <w:r w:rsidR="003D4533">
        <w:t xml:space="preserve">. </w:t>
      </w:r>
      <w:r w:rsidR="00B528C4">
        <w:t>They share many of the same donors with ALEC</w:t>
      </w:r>
      <w:r w:rsidR="00697E53">
        <w:t>, including Searle, Hume, Bradley, Castle Rock, Donors Capital, and Donors Trust. This overlap reinforces the idea that we are observing a “network” with a fairly unified policy agenda.</w:t>
      </w:r>
      <w:r w:rsidR="00B528C4">
        <w:t xml:space="preserve"> The table and chart</w:t>
      </w:r>
      <w:r w:rsidR="00697E53">
        <w:t>s</w:t>
      </w:r>
      <w:r w:rsidR="00B528C4">
        <w:t xml:space="preserve"> below reflect the SPN’s top donors and yearly revenue, respectively.</w:t>
      </w:r>
      <w:r w:rsidR="00697E53">
        <w:t xml:space="preserve"> Note the prominent role of Donors Capital and Donors Trust. Note, too, that</w:t>
      </w:r>
      <w:r w:rsidR="00B52903">
        <w:t xml:space="preserve"> unlike ALEC, SPN’s revenues were quite modest through 2007, but have increased sharply between 2008 and 2013.</w:t>
      </w:r>
      <w:r w:rsidR="00B158D2">
        <w:t xml:space="preserve"> Given the dip in the SPN’s revenue that we see from 2012 to 2013 (which is comparable to ALEC’s</w:t>
      </w:r>
      <w:r w:rsidR="00875EDC">
        <w:t xml:space="preserve"> recent</w:t>
      </w:r>
      <w:r w:rsidR="00B158D2">
        <w:t xml:space="preserve"> drop in revenue), it is </w:t>
      </w:r>
      <w:r w:rsidR="00B158D2">
        <w:lastRenderedPageBreak/>
        <w:t>possible that recent exposure and media coverage ha</w:t>
      </w:r>
      <w:r w:rsidR="00875EDC">
        <w:t>ve</w:t>
      </w:r>
      <w:r w:rsidR="00B52903">
        <w:t xml:space="preserve"> caused the state-level policy </w:t>
      </w:r>
      <w:r w:rsidR="00B158D2">
        <w:t>planning network as</w:t>
      </w:r>
      <w:r w:rsidR="00B52903">
        <w:t xml:space="preserve"> a whole to suffer a</w:t>
      </w:r>
      <w:r w:rsidR="00B158D2">
        <w:t xml:space="preserve"> blow to its power and influence. </w:t>
      </w:r>
      <w:r w:rsidR="00B17458">
        <w:t xml:space="preserve">Future data will verify whether or not this is true. </w:t>
      </w:r>
    </w:p>
    <w:p w:rsidR="00B528C4" w:rsidRDefault="00B528C4" w:rsidP="00090888">
      <w:pPr>
        <w:spacing w:line="480" w:lineRule="auto"/>
      </w:pPr>
    </w:p>
    <w:p w:rsidR="002D3238" w:rsidRDefault="002D3238" w:rsidP="00090888">
      <w:pPr>
        <w:spacing w:line="480" w:lineRule="auto"/>
      </w:pPr>
      <w:r>
        <w:t>Top Donors to SPN 2001-2013</w:t>
      </w:r>
      <w:r w:rsidR="00655D9D">
        <w:t>:</w:t>
      </w:r>
    </w:p>
    <w:tbl>
      <w:tblPr>
        <w:tblW w:w="6414" w:type="dxa"/>
        <w:tblInd w:w="93" w:type="dxa"/>
        <w:tblLook w:val="04A0" w:firstRow="1" w:lastRow="0" w:firstColumn="1" w:lastColumn="0" w:noHBand="0" w:noVBand="1"/>
      </w:tblPr>
      <w:tblGrid>
        <w:gridCol w:w="4719"/>
        <w:gridCol w:w="1695"/>
      </w:tblGrid>
      <w:tr w:rsidR="002D3238" w:rsidTr="002D3238">
        <w:trPr>
          <w:trHeight w:val="301"/>
        </w:trPr>
        <w:tc>
          <w:tcPr>
            <w:tcW w:w="4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Donor</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 Amount</w:t>
            </w:r>
          </w:p>
        </w:tc>
      </w:tr>
      <w:tr w:rsidR="002D3238" w:rsidTr="002D3238">
        <w:trPr>
          <w:trHeight w:val="301"/>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Donors Capital Fund</w:t>
            </w:r>
          </w:p>
        </w:tc>
        <w:tc>
          <w:tcPr>
            <w:tcW w:w="1695" w:type="dxa"/>
            <w:tcBorders>
              <w:top w:val="nil"/>
              <w:left w:val="nil"/>
              <w:bottom w:val="single" w:sz="4" w:space="0" w:color="auto"/>
              <w:right w:val="single" w:sz="4" w:space="0" w:color="auto"/>
            </w:tcBorders>
            <w:shd w:val="clear" w:color="auto" w:fill="auto"/>
            <w:noWrap/>
            <w:vAlign w:val="bottom"/>
            <w:hideMark/>
          </w:tcPr>
          <w:p w:rsidR="002D3238" w:rsidRDefault="002D3238">
            <w:pPr>
              <w:jc w:val="right"/>
              <w:rPr>
                <w:rFonts w:ascii="Calibri" w:eastAsia="Times New Roman" w:hAnsi="Calibri"/>
                <w:color w:val="000000"/>
              </w:rPr>
            </w:pPr>
            <w:r>
              <w:rPr>
                <w:rFonts w:ascii="Calibri" w:eastAsia="Times New Roman" w:hAnsi="Calibri"/>
                <w:color w:val="000000"/>
              </w:rPr>
              <w:t xml:space="preserve">$12,312,014 </w:t>
            </w:r>
          </w:p>
        </w:tc>
      </w:tr>
      <w:tr w:rsidR="002D3238" w:rsidTr="002D3238">
        <w:trPr>
          <w:trHeight w:val="301"/>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Searle Freedom Trust</w:t>
            </w:r>
          </w:p>
        </w:tc>
        <w:tc>
          <w:tcPr>
            <w:tcW w:w="1695" w:type="dxa"/>
            <w:tcBorders>
              <w:top w:val="nil"/>
              <w:left w:val="nil"/>
              <w:bottom w:val="single" w:sz="4" w:space="0" w:color="auto"/>
              <w:right w:val="single" w:sz="4" w:space="0" w:color="auto"/>
            </w:tcBorders>
            <w:shd w:val="clear" w:color="auto" w:fill="auto"/>
            <w:noWrap/>
            <w:vAlign w:val="bottom"/>
            <w:hideMark/>
          </w:tcPr>
          <w:p w:rsidR="002D3238" w:rsidRDefault="002D3238">
            <w:pPr>
              <w:jc w:val="right"/>
              <w:rPr>
                <w:rFonts w:ascii="Calibri" w:eastAsia="Times New Roman" w:hAnsi="Calibri"/>
                <w:color w:val="000000"/>
              </w:rPr>
            </w:pPr>
            <w:r>
              <w:rPr>
                <w:rFonts w:ascii="Calibri" w:eastAsia="Times New Roman" w:hAnsi="Calibri"/>
                <w:color w:val="000000"/>
              </w:rPr>
              <w:t xml:space="preserve">$2,702,000 </w:t>
            </w:r>
          </w:p>
        </w:tc>
      </w:tr>
      <w:tr w:rsidR="002D3238" w:rsidTr="002D3238">
        <w:trPr>
          <w:trHeight w:val="301"/>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The Thirteen Foundation</w:t>
            </w:r>
          </w:p>
        </w:tc>
        <w:tc>
          <w:tcPr>
            <w:tcW w:w="1695" w:type="dxa"/>
            <w:tcBorders>
              <w:top w:val="nil"/>
              <w:left w:val="nil"/>
              <w:bottom w:val="single" w:sz="4" w:space="0" w:color="auto"/>
              <w:right w:val="single" w:sz="4" w:space="0" w:color="auto"/>
            </w:tcBorders>
            <w:shd w:val="clear" w:color="auto" w:fill="auto"/>
            <w:noWrap/>
            <w:vAlign w:val="bottom"/>
            <w:hideMark/>
          </w:tcPr>
          <w:p w:rsidR="002D3238" w:rsidRDefault="002D3238">
            <w:pPr>
              <w:jc w:val="right"/>
              <w:rPr>
                <w:rFonts w:ascii="Calibri" w:eastAsia="Times New Roman" w:hAnsi="Calibri"/>
                <w:color w:val="000000"/>
              </w:rPr>
            </w:pPr>
            <w:r>
              <w:rPr>
                <w:rFonts w:ascii="Calibri" w:eastAsia="Times New Roman" w:hAnsi="Calibri"/>
                <w:color w:val="000000"/>
              </w:rPr>
              <w:t xml:space="preserve">$1,526,125 </w:t>
            </w:r>
          </w:p>
        </w:tc>
      </w:tr>
      <w:tr w:rsidR="002D3238" w:rsidTr="002D3238">
        <w:trPr>
          <w:trHeight w:val="301"/>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The Roe Foundation</w:t>
            </w:r>
          </w:p>
        </w:tc>
        <w:tc>
          <w:tcPr>
            <w:tcW w:w="1695" w:type="dxa"/>
            <w:tcBorders>
              <w:top w:val="nil"/>
              <w:left w:val="nil"/>
              <w:bottom w:val="single" w:sz="4" w:space="0" w:color="auto"/>
              <w:right w:val="single" w:sz="4" w:space="0" w:color="auto"/>
            </w:tcBorders>
            <w:shd w:val="clear" w:color="auto" w:fill="auto"/>
            <w:noWrap/>
            <w:vAlign w:val="bottom"/>
            <w:hideMark/>
          </w:tcPr>
          <w:p w:rsidR="002D3238" w:rsidRDefault="002D3238">
            <w:pPr>
              <w:jc w:val="right"/>
              <w:rPr>
                <w:rFonts w:ascii="Calibri" w:eastAsia="Times New Roman" w:hAnsi="Calibri"/>
                <w:color w:val="000000"/>
              </w:rPr>
            </w:pPr>
            <w:r>
              <w:rPr>
                <w:rFonts w:ascii="Calibri" w:eastAsia="Times New Roman" w:hAnsi="Calibri"/>
                <w:color w:val="000000"/>
              </w:rPr>
              <w:t xml:space="preserve">$1,107,000 </w:t>
            </w:r>
          </w:p>
        </w:tc>
      </w:tr>
      <w:tr w:rsidR="002D3238" w:rsidTr="002D3238">
        <w:trPr>
          <w:trHeight w:val="301"/>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proofErr w:type="spellStart"/>
            <w:r>
              <w:rPr>
                <w:rFonts w:ascii="Calibri" w:eastAsia="Times New Roman" w:hAnsi="Calibri"/>
                <w:color w:val="000000"/>
              </w:rPr>
              <w:t>DonorsTrust</w:t>
            </w:r>
            <w:proofErr w:type="spellEnd"/>
          </w:p>
        </w:tc>
        <w:tc>
          <w:tcPr>
            <w:tcW w:w="1695" w:type="dxa"/>
            <w:tcBorders>
              <w:top w:val="nil"/>
              <w:left w:val="nil"/>
              <w:bottom w:val="single" w:sz="4" w:space="0" w:color="auto"/>
              <w:right w:val="single" w:sz="4" w:space="0" w:color="auto"/>
            </w:tcBorders>
            <w:shd w:val="clear" w:color="auto" w:fill="auto"/>
            <w:noWrap/>
            <w:vAlign w:val="bottom"/>
            <w:hideMark/>
          </w:tcPr>
          <w:p w:rsidR="002D3238" w:rsidRDefault="002D3238">
            <w:pPr>
              <w:jc w:val="right"/>
              <w:rPr>
                <w:rFonts w:ascii="Calibri" w:eastAsia="Times New Roman" w:hAnsi="Calibri"/>
                <w:color w:val="000000"/>
              </w:rPr>
            </w:pPr>
            <w:r>
              <w:rPr>
                <w:rFonts w:ascii="Calibri" w:eastAsia="Times New Roman" w:hAnsi="Calibri"/>
                <w:color w:val="000000"/>
              </w:rPr>
              <w:t xml:space="preserve">$1,039,000 </w:t>
            </w:r>
          </w:p>
        </w:tc>
      </w:tr>
      <w:tr w:rsidR="002D3238" w:rsidTr="002D3238">
        <w:trPr>
          <w:trHeight w:val="301"/>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Jaquelin Hume Foundation</w:t>
            </w:r>
          </w:p>
        </w:tc>
        <w:tc>
          <w:tcPr>
            <w:tcW w:w="1695" w:type="dxa"/>
            <w:tcBorders>
              <w:top w:val="nil"/>
              <w:left w:val="nil"/>
              <w:bottom w:val="single" w:sz="4" w:space="0" w:color="auto"/>
              <w:right w:val="single" w:sz="4" w:space="0" w:color="auto"/>
            </w:tcBorders>
            <w:shd w:val="clear" w:color="auto" w:fill="auto"/>
            <w:noWrap/>
            <w:vAlign w:val="bottom"/>
            <w:hideMark/>
          </w:tcPr>
          <w:p w:rsidR="002D3238" w:rsidRDefault="002D3238">
            <w:pPr>
              <w:jc w:val="right"/>
              <w:rPr>
                <w:rFonts w:ascii="Calibri" w:eastAsia="Times New Roman" w:hAnsi="Calibri"/>
                <w:color w:val="000000"/>
              </w:rPr>
            </w:pPr>
            <w:r>
              <w:rPr>
                <w:rFonts w:ascii="Calibri" w:eastAsia="Times New Roman" w:hAnsi="Calibri"/>
                <w:color w:val="000000"/>
              </w:rPr>
              <w:t xml:space="preserve">$805,000 </w:t>
            </w:r>
          </w:p>
        </w:tc>
      </w:tr>
      <w:tr w:rsidR="002D3238" w:rsidTr="002D3238">
        <w:trPr>
          <w:trHeight w:val="301"/>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JM Foundation</w:t>
            </w:r>
          </w:p>
        </w:tc>
        <w:tc>
          <w:tcPr>
            <w:tcW w:w="1695" w:type="dxa"/>
            <w:tcBorders>
              <w:top w:val="nil"/>
              <w:left w:val="nil"/>
              <w:bottom w:val="single" w:sz="4" w:space="0" w:color="auto"/>
              <w:right w:val="single" w:sz="4" w:space="0" w:color="auto"/>
            </w:tcBorders>
            <w:shd w:val="clear" w:color="auto" w:fill="auto"/>
            <w:noWrap/>
            <w:vAlign w:val="bottom"/>
            <w:hideMark/>
          </w:tcPr>
          <w:p w:rsidR="002D3238" w:rsidRDefault="002D3238">
            <w:pPr>
              <w:jc w:val="right"/>
              <w:rPr>
                <w:rFonts w:ascii="Calibri" w:eastAsia="Times New Roman" w:hAnsi="Calibri"/>
                <w:color w:val="000000"/>
              </w:rPr>
            </w:pPr>
            <w:r>
              <w:rPr>
                <w:rFonts w:ascii="Calibri" w:eastAsia="Times New Roman" w:hAnsi="Calibri"/>
                <w:color w:val="000000"/>
              </w:rPr>
              <w:t xml:space="preserve">$775,000 </w:t>
            </w:r>
          </w:p>
        </w:tc>
      </w:tr>
      <w:tr w:rsidR="002D3238" w:rsidTr="002D3238">
        <w:trPr>
          <w:trHeight w:val="301"/>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 xml:space="preserve">The </w:t>
            </w:r>
            <w:proofErr w:type="spellStart"/>
            <w:r>
              <w:rPr>
                <w:rFonts w:ascii="Calibri" w:eastAsia="Times New Roman" w:hAnsi="Calibri"/>
                <w:color w:val="000000"/>
              </w:rPr>
              <w:t>Lynde</w:t>
            </w:r>
            <w:proofErr w:type="spellEnd"/>
            <w:r>
              <w:rPr>
                <w:rFonts w:ascii="Calibri" w:eastAsia="Times New Roman" w:hAnsi="Calibri"/>
                <w:color w:val="000000"/>
              </w:rPr>
              <w:t xml:space="preserve"> and Harry Bradley Foundation</w:t>
            </w:r>
          </w:p>
        </w:tc>
        <w:tc>
          <w:tcPr>
            <w:tcW w:w="1695" w:type="dxa"/>
            <w:tcBorders>
              <w:top w:val="nil"/>
              <w:left w:val="nil"/>
              <w:bottom w:val="single" w:sz="4" w:space="0" w:color="auto"/>
              <w:right w:val="single" w:sz="4" w:space="0" w:color="auto"/>
            </w:tcBorders>
            <w:shd w:val="clear" w:color="auto" w:fill="auto"/>
            <w:noWrap/>
            <w:vAlign w:val="bottom"/>
            <w:hideMark/>
          </w:tcPr>
          <w:p w:rsidR="002D3238" w:rsidRDefault="002D3238">
            <w:pPr>
              <w:jc w:val="right"/>
              <w:rPr>
                <w:rFonts w:ascii="Calibri" w:eastAsia="Times New Roman" w:hAnsi="Calibri"/>
                <w:color w:val="000000"/>
              </w:rPr>
            </w:pPr>
            <w:r>
              <w:rPr>
                <w:rFonts w:ascii="Calibri" w:eastAsia="Times New Roman" w:hAnsi="Calibri"/>
                <w:color w:val="000000"/>
              </w:rPr>
              <w:t xml:space="preserve">$180,000 </w:t>
            </w:r>
          </w:p>
        </w:tc>
      </w:tr>
      <w:tr w:rsidR="002D3238" w:rsidTr="002D3238">
        <w:trPr>
          <w:trHeight w:val="301"/>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John M. Olin Foundation</w:t>
            </w:r>
          </w:p>
        </w:tc>
        <w:tc>
          <w:tcPr>
            <w:tcW w:w="1695" w:type="dxa"/>
            <w:tcBorders>
              <w:top w:val="nil"/>
              <w:left w:val="nil"/>
              <w:bottom w:val="single" w:sz="4" w:space="0" w:color="auto"/>
              <w:right w:val="single" w:sz="4" w:space="0" w:color="auto"/>
            </w:tcBorders>
            <w:shd w:val="clear" w:color="auto" w:fill="auto"/>
            <w:noWrap/>
            <w:vAlign w:val="bottom"/>
            <w:hideMark/>
          </w:tcPr>
          <w:p w:rsidR="002D3238" w:rsidRDefault="002D3238">
            <w:pPr>
              <w:jc w:val="right"/>
              <w:rPr>
                <w:rFonts w:ascii="Calibri" w:eastAsia="Times New Roman" w:hAnsi="Calibri"/>
                <w:color w:val="000000"/>
              </w:rPr>
            </w:pPr>
            <w:r>
              <w:rPr>
                <w:rFonts w:ascii="Calibri" w:eastAsia="Times New Roman" w:hAnsi="Calibri"/>
                <w:color w:val="000000"/>
              </w:rPr>
              <w:t xml:space="preserve">$155,000 </w:t>
            </w:r>
          </w:p>
        </w:tc>
      </w:tr>
      <w:tr w:rsidR="002D3238" w:rsidTr="002D3238">
        <w:trPr>
          <w:trHeight w:val="301"/>
        </w:trPr>
        <w:tc>
          <w:tcPr>
            <w:tcW w:w="4719" w:type="dxa"/>
            <w:tcBorders>
              <w:top w:val="nil"/>
              <w:left w:val="single" w:sz="4" w:space="0" w:color="auto"/>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 xml:space="preserve">Barbara and </w:t>
            </w:r>
            <w:proofErr w:type="spellStart"/>
            <w:r>
              <w:rPr>
                <w:rFonts w:ascii="Calibri" w:eastAsia="Times New Roman" w:hAnsi="Calibri"/>
                <w:color w:val="000000"/>
              </w:rPr>
              <w:t>Barre</w:t>
            </w:r>
            <w:proofErr w:type="spellEnd"/>
            <w:r>
              <w:rPr>
                <w:rFonts w:ascii="Calibri" w:eastAsia="Times New Roman" w:hAnsi="Calibri"/>
                <w:color w:val="000000"/>
              </w:rPr>
              <w:t xml:space="preserve"> </w:t>
            </w:r>
            <w:proofErr w:type="spellStart"/>
            <w:r>
              <w:rPr>
                <w:rFonts w:ascii="Calibri" w:eastAsia="Times New Roman" w:hAnsi="Calibri"/>
                <w:color w:val="000000"/>
              </w:rPr>
              <w:t>Seid</w:t>
            </w:r>
            <w:proofErr w:type="spellEnd"/>
            <w:r>
              <w:rPr>
                <w:rFonts w:ascii="Calibri" w:eastAsia="Times New Roman" w:hAnsi="Calibri"/>
                <w:color w:val="000000"/>
              </w:rPr>
              <w:t xml:space="preserve"> Foundation</w:t>
            </w:r>
          </w:p>
        </w:tc>
        <w:tc>
          <w:tcPr>
            <w:tcW w:w="1695" w:type="dxa"/>
            <w:tcBorders>
              <w:top w:val="nil"/>
              <w:left w:val="nil"/>
              <w:bottom w:val="single" w:sz="4" w:space="0" w:color="auto"/>
              <w:right w:val="single" w:sz="4" w:space="0" w:color="auto"/>
            </w:tcBorders>
            <w:shd w:val="clear" w:color="auto" w:fill="auto"/>
            <w:noWrap/>
            <w:vAlign w:val="bottom"/>
            <w:hideMark/>
          </w:tcPr>
          <w:p w:rsidR="002D3238" w:rsidRDefault="002D3238">
            <w:pPr>
              <w:jc w:val="right"/>
              <w:rPr>
                <w:rFonts w:ascii="Calibri" w:eastAsia="Times New Roman" w:hAnsi="Calibri"/>
                <w:color w:val="000000"/>
              </w:rPr>
            </w:pPr>
            <w:r>
              <w:rPr>
                <w:rFonts w:ascii="Calibri" w:eastAsia="Times New Roman" w:hAnsi="Calibri"/>
                <w:color w:val="000000"/>
              </w:rPr>
              <w:t xml:space="preserve">$150,000 </w:t>
            </w:r>
          </w:p>
        </w:tc>
      </w:tr>
      <w:tr w:rsidR="002D3238" w:rsidTr="002D3238">
        <w:trPr>
          <w:trHeight w:val="301"/>
        </w:trPr>
        <w:tc>
          <w:tcPr>
            <w:tcW w:w="4719" w:type="dxa"/>
            <w:tcBorders>
              <w:top w:val="nil"/>
              <w:left w:val="single" w:sz="4" w:space="0" w:color="auto"/>
              <w:bottom w:val="nil"/>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Castle Rock Foundation</w:t>
            </w:r>
          </w:p>
        </w:tc>
        <w:tc>
          <w:tcPr>
            <w:tcW w:w="1695" w:type="dxa"/>
            <w:tcBorders>
              <w:top w:val="nil"/>
              <w:left w:val="nil"/>
              <w:bottom w:val="nil"/>
              <w:right w:val="single" w:sz="4" w:space="0" w:color="auto"/>
            </w:tcBorders>
            <w:shd w:val="clear" w:color="auto" w:fill="auto"/>
            <w:noWrap/>
            <w:vAlign w:val="bottom"/>
            <w:hideMark/>
          </w:tcPr>
          <w:p w:rsidR="002D3238" w:rsidRDefault="002D3238">
            <w:pPr>
              <w:jc w:val="right"/>
              <w:rPr>
                <w:rFonts w:ascii="Calibri" w:eastAsia="Times New Roman" w:hAnsi="Calibri"/>
                <w:color w:val="000000"/>
              </w:rPr>
            </w:pPr>
            <w:r>
              <w:rPr>
                <w:rFonts w:ascii="Calibri" w:eastAsia="Times New Roman" w:hAnsi="Calibri"/>
                <w:color w:val="000000"/>
              </w:rPr>
              <w:t xml:space="preserve">$135,000 </w:t>
            </w:r>
          </w:p>
        </w:tc>
      </w:tr>
      <w:tr w:rsidR="002D3238" w:rsidTr="002D3238">
        <w:trPr>
          <w:trHeight w:val="301"/>
        </w:trPr>
        <w:tc>
          <w:tcPr>
            <w:tcW w:w="471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D3238" w:rsidRDefault="002D3238">
            <w:pPr>
              <w:rPr>
                <w:rFonts w:ascii="Calibri" w:eastAsia="Times New Roman" w:hAnsi="Calibri"/>
                <w:color w:val="000000"/>
              </w:rPr>
            </w:pPr>
            <w:r>
              <w:rPr>
                <w:rFonts w:ascii="Calibri" w:eastAsia="Times New Roman" w:hAnsi="Calibri"/>
                <w:color w:val="000000"/>
              </w:rPr>
              <w:t>Chase Foundation of Virginia</w:t>
            </w:r>
          </w:p>
        </w:tc>
        <w:tc>
          <w:tcPr>
            <w:tcW w:w="1695" w:type="dxa"/>
            <w:tcBorders>
              <w:top w:val="single" w:sz="4" w:space="0" w:color="auto"/>
              <w:left w:val="nil"/>
              <w:bottom w:val="single" w:sz="4" w:space="0" w:color="auto"/>
              <w:right w:val="single" w:sz="4" w:space="0" w:color="auto"/>
            </w:tcBorders>
            <w:shd w:val="clear" w:color="auto" w:fill="auto"/>
            <w:noWrap/>
            <w:vAlign w:val="bottom"/>
            <w:hideMark/>
          </w:tcPr>
          <w:p w:rsidR="002D3238" w:rsidRDefault="002D3238">
            <w:pPr>
              <w:jc w:val="right"/>
              <w:rPr>
                <w:rFonts w:ascii="Calibri" w:eastAsia="Times New Roman" w:hAnsi="Calibri"/>
                <w:color w:val="000000"/>
              </w:rPr>
            </w:pPr>
            <w:r>
              <w:rPr>
                <w:rFonts w:ascii="Calibri" w:eastAsia="Times New Roman" w:hAnsi="Calibri"/>
                <w:color w:val="000000"/>
              </w:rPr>
              <w:t xml:space="preserve">$130,860 </w:t>
            </w:r>
          </w:p>
        </w:tc>
      </w:tr>
    </w:tbl>
    <w:p w:rsidR="00555354" w:rsidRDefault="00FC2D9C" w:rsidP="00090888">
      <w:pPr>
        <w:spacing w:line="480" w:lineRule="auto"/>
      </w:pPr>
      <w:r>
        <w:rPr>
          <w:rStyle w:val="FootnoteReference"/>
        </w:rPr>
        <w:footnoteReference w:id="19"/>
      </w:r>
    </w:p>
    <w:p w:rsidR="00655D9D" w:rsidRDefault="00655D9D" w:rsidP="00090888">
      <w:pPr>
        <w:spacing w:line="480" w:lineRule="auto"/>
      </w:pPr>
      <w:r>
        <w:rPr>
          <w:noProof/>
        </w:rPr>
        <w:lastRenderedPageBreak/>
        <w:drawing>
          <wp:inline distT="0" distB="0" distL="0" distR="0">
            <wp:extent cx="5080635" cy="4269740"/>
            <wp:effectExtent l="0" t="0" r="24765" b="2286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555354" w:rsidRDefault="007B556E" w:rsidP="00090888">
      <w:pPr>
        <w:spacing w:line="480" w:lineRule="auto"/>
      </w:pPr>
      <w:r>
        <w:rPr>
          <w:noProof/>
        </w:rPr>
        <w:drawing>
          <wp:inline distT="0" distB="0" distL="0" distR="0">
            <wp:extent cx="4572000" cy="2743200"/>
            <wp:effectExtent l="0" t="0" r="25400" b="2540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52903" w:rsidRDefault="00FC2D9C" w:rsidP="00B52903">
      <w:pPr>
        <w:spacing w:line="480" w:lineRule="auto"/>
      </w:pPr>
      <w:r>
        <w:rPr>
          <w:rStyle w:val="FootnoteReference"/>
        </w:rPr>
        <w:footnoteReference w:id="20"/>
      </w:r>
    </w:p>
    <w:p w:rsidR="00702CE2" w:rsidRPr="00B52903" w:rsidRDefault="00702CE2" w:rsidP="00B52903">
      <w:pPr>
        <w:spacing w:line="480" w:lineRule="auto"/>
      </w:pPr>
      <w:r>
        <w:rPr>
          <w:u w:val="single"/>
        </w:rPr>
        <w:lastRenderedPageBreak/>
        <w:t>References</w:t>
      </w:r>
    </w:p>
    <w:p w:rsidR="00702CE2" w:rsidRDefault="00702CE2" w:rsidP="00702CE2">
      <w:pPr>
        <w:spacing w:line="480" w:lineRule="auto"/>
        <w:rPr>
          <w:rFonts w:eastAsia="Times New Roman"/>
          <w:color w:val="000000"/>
          <w:shd w:val="clear" w:color="auto" w:fill="F2F2F2"/>
        </w:rPr>
      </w:pPr>
    </w:p>
    <w:p w:rsidR="00702CE2" w:rsidRDefault="00702CE2" w:rsidP="00702CE2">
      <w:pPr>
        <w:spacing w:line="480" w:lineRule="auto"/>
        <w:rPr>
          <w:rFonts w:eastAsia="Times New Roman"/>
          <w:color w:val="000000"/>
          <w:shd w:val="clear" w:color="auto" w:fill="F2F2F2"/>
        </w:rPr>
      </w:pPr>
      <w:r w:rsidRPr="008524D7">
        <w:rPr>
          <w:rFonts w:eastAsia="Times New Roman"/>
          <w:color w:val="000000"/>
          <w:shd w:val="clear" w:color="auto" w:fill="F2F2F2"/>
        </w:rPr>
        <w:t>"ALEC Exposed: The Koch Connection." </w:t>
      </w:r>
      <w:proofErr w:type="gramStart"/>
      <w:r w:rsidRPr="008524D7">
        <w:rPr>
          <w:rFonts w:eastAsia="Times New Roman"/>
          <w:i/>
          <w:iCs/>
          <w:color w:val="000000"/>
          <w:shd w:val="clear" w:color="auto" w:fill="F2F2F2"/>
        </w:rPr>
        <w:t>The Nation</w:t>
      </w:r>
      <w:r w:rsidRPr="008524D7">
        <w:rPr>
          <w:rFonts w:eastAsia="Times New Roman"/>
          <w:color w:val="000000"/>
          <w:shd w:val="clear" w:color="auto" w:fill="F2F2F2"/>
        </w:rPr>
        <w:t>.</w:t>
      </w:r>
      <w:proofErr w:type="gramEnd"/>
      <w:r w:rsidRPr="008524D7">
        <w:rPr>
          <w:rFonts w:eastAsia="Times New Roman"/>
          <w:color w:val="000000"/>
          <w:shd w:val="clear" w:color="auto" w:fill="F2F2F2"/>
        </w:rPr>
        <w:t xml:space="preserve"> </w:t>
      </w:r>
      <w:proofErr w:type="spellStart"/>
      <w:proofErr w:type="gramStart"/>
      <w:r w:rsidRPr="008524D7">
        <w:rPr>
          <w:rFonts w:eastAsia="Times New Roman"/>
          <w:color w:val="000000"/>
          <w:shd w:val="clear" w:color="auto" w:fill="F2F2F2"/>
        </w:rPr>
        <w:t>N.p</w:t>
      </w:r>
      <w:proofErr w:type="spellEnd"/>
      <w:proofErr w:type="gramEnd"/>
      <w:r w:rsidRPr="008524D7">
        <w:rPr>
          <w:rFonts w:eastAsia="Times New Roman"/>
          <w:color w:val="000000"/>
          <w:shd w:val="clear" w:color="auto" w:fill="F2F2F2"/>
        </w:rPr>
        <w:t xml:space="preserve">., </w:t>
      </w:r>
      <w:proofErr w:type="spellStart"/>
      <w:r w:rsidRPr="008524D7">
        <w:rPr>
          <w:rFonts w:eastAsia="Times New Roman"/>
          <w:color w:val="000000"/>
          <w:shd w:val="clear" w:color="auto" w:fill="F2F2F2"/>
        </w:rPr>
        <w:t>n.d.</w:t>
      </w:r>
      <w:proofErr w:type="spellEnd"/>
      <w:r w:rsidRPr="008524D7">
        <w:rPr>
          <w:rFonts w:eastAsia="Times New Roman"/>
          <w:color w:val="000000"/>
          <w:shd w:val="clear" w:color="auto" w:fill="F2F2F2"/>
        </w:rPr>
        <w:t xml:space="preserve"> Web. 19 Nov. 2014.</w:t>
      </w:r>
    </w:p>
    <w:p w:rsidR="00702CE2" w:rsidRDefault="00702CE2" w:rsidP="00702CE2">
      <w:pPr>
        <w:spacing w:line="480" w:lineRule="auto"/>
        <w:rPr>
          <w:rFonts w:eastAsia="Times New Roman"/>
          <w:color w:val="000000"/>
          <w:shd w:val="clear" w:color="auto" w:fill="F2F2F2"/>
        </w:rPr>
      </w:pPr>
      <w:proofErr w:type="gramStart"/>
      <w:r w:rsidRPr="008524D7">
        <w:rPr>
          <w:rFonts w:eastAsia="Times New Roman"/>
          <w:color w:val="000000"/>
          <w:shd w:val="clear" w:color="auto" w:fill="F2F2F2"/>
        </w:rPr>
        <w:t>"Conservative Transparency."</w:t>
      </w:r>
      <w:proofErr w:type="gramEnd"/>
      <w:r w:rsidRPr="008524D7">
        <w:rPr>
          <w:rFonts w:eastAsia="Times New Roman"/>
          <w:color w:val="000000"/>
          <w:shd w:val="clear" w:color="auto" w:fill="F2F2F2"/>
        </w:rPr>
        <w:t> </w:t>
      </w:r>
      <w:proofErr w:type="gramStart"/>
      <w:r w:rsidRPr="008524D7">
        <w:rPr>
          <w:rFonts w:eastAsia="Times New Roman"/>
          <w:i/>
          <w:iCs/>
          <w:color w:val="000000"/>
          <w:shd w:val="clear" w:color="auto" w:fill="F2F2F2"/>
        </w:rPr>
        <w:t>Conservative Transparency</w:t>
      </w:r>
      <w:r w:rsidRPr="008524D7">
        <w:rPr>
          <w:rFonts w:eastAsia="Times New Roman"/>
          <w:color w:val="000000"/>
          <w:shd w:val="clear" w:color="auto" w:fill="F2F2F2"/>
        </w:rPr>
        <w:t>.</w:t>
      </w:r>
      <w:proofErr w:type="gramEnd"/>
      <w:r w:rsidRPr="008524D7">
        <w:rPr>
          <w:rFonts w:eastAsia="Times New Roman"/>
          <w:color w:val="000000"/>
          <w:shd w:val="clear" w:color="auto" w:fill="F2F2F2"/>
        </w:rPr>
        <w:t xml:space="preserve"> </w:t>
      </w:r>
      <w:proofErr w:type="spellStart"/>
      <w:proofErr w:type="gramStart"/>
      <w:r w:rsidRPr="008524D7">
        <w:rPr>
          <w:rFonts w:eastAsia="Times New Roman"/>
          <w:color w:val="000000"/>
          <w:shd w:val="clear" w:color="auto" w:fill="F2F2F2"/>
        </w:rPr>
        <w:t>N.p</w:t>
      </w:r>
      <w:proofErr w:type="spellEnd"/>
      <w:proofErr w:type="gramEnd"/>
      <w:r w:rsidRPr="008524D7">
        <w:rPr>
          <w:rFonts w:eastAsia="Times New Roman"/>
          <w:color w:val="000000"/>
          <w:shd w:val="clear" w:color="auto" w:fill="F2F2F2"/>
        </w:rPr>
        <w:t xml:space="preserve">., </w:t>
      </w:r>
      <w:proofErr w:type="spellStart"/>
      <w:r w:rsidRPr="008524D7">
        <w:rPr>
          <w:rFonts w:eastAsia="Times New Roman"/>
          <w:color w:val="000000"/>
          <w:shd w:val="clear" w:color="auto" w:fill="F2F2F2"/>
        </w:rPr>
        <w:t>n.d.</w:t>
      </w:r>
      <w:proofErr w:type="spellEnd"/>
      <w:r w:rsidRPr="008524D7">
        <w:rPr>
          <w:rFonts w:eastAsia="Times New Roman"/>
          <w:color w:val="000000"/>
          <w:shd w:val="clear" w:color="auto" w:fill="F2F2F2"/>
        </w:rPr>
        <w:t xml:space="preserve"> Web. 19 Nov. </w:t>
      </w:r>
      <w:r w:rsidRPr="00D54431">
        <w:rPr>
          <w:rFonts w:eastAsia="Times New Roman"/>
          <w:color w:val="000000"/>
          <w:shd w:val="clear" w:color="auto" w:fill="F2F2F2"/>
        </w:rPr>
        <w:t>2014.</w:t>
      </w:r>
    </w:p>
    <w:p w:rsidR="00702CE2" w:rsidRDefault="00702CE2" w:rsidP="00702CE2">
      <w:pPr>
        <w:spacing w:line="480" w:lineRule="auto"/>
        <w:ind w:left="450" w:hanging="450"/>
        <w:rPr>
          <w:rFonts w:eastAsia="Times New Roman"/>
          <w:color w:val="000000"/>
          <w:shd w:val="clear" w:color="auto" w:fill="F2F2F2"/>
        </w:rPr>
      </w:pPr>
      <w:r w:rsidRPr="00D54431">
        <w:rPr>
          <w:rFonts w:eastAsia="Times New Roman"/>
          <w:color w:val="000000"/>
          <w:shd w:val="clear" w:color="auto" w:fill="F2F2F2"/>
        </w:rPr>
        <w:t>"Direct Democracy Brings Economic Justice Wins, But Watch Out for ALEC." </w:t>
      </w:r>
      <w:r w:rsidRPr="00D54431">
        <w:rPr>
          <w:rFonts w:eastAsia="Times New Roman"/>
          <w:i/>
          <w:iCs/>
          <w:color w:val="000000"/>
          <w:shd w:val="clear" w:color="auto" w:fill="F2F2F2"/>
        </w:rPr>
        <w:t>PR Watch</w:t>
      </w:r>
      <w:r w:rsidRPr="00D54431">
        <w:rPr>
          <w:rFonts w:eastAsia="Times New Roman"/>
          <w:color w:val="000000"/>
          <w:shd w:val="clear" w:color="auto" w:fill="F2F2F2"/>
        </w:rPr>
        <w:t xml:space="preserve">. </w:t>
      </w:r>
      <w:proofErr w:type="spellStart"/>
      <w:proofErr w:type="gramStart"/>
      <w:r w:rsidRPr="00D54431">
        <w:rPr>
          <w:rFonts w:eastAsia="Times New Roman"/>
          <w:color w:val="000000"/>
          <w:shd w:val="clear" w:color="auto" w:fill="F2F2F2"/>
        </w:rPr>
        <w:t>N.p</w:t>
      </w:r>
      <w:proofErr w:type="spellEnd"/>
      <w:proofErr w:type="gramEnd"/>
      <w:r w:rsidRPr="00D54431">
        <w:rPr>
          <w:rFonts w:eastAsia="Times New Roman"/>
          <w:color w:val="000000"/>
          <w:shd w:val="clear" w:color="auto" w:fill="F2F2F2"/>
        </w:rPr>
        <w:t xml:space="preserve">., 05 Nov. 2014. </w:t>
      </w:r>
      <w:proofErr w:type="gramStart"/>
      <w:r w:rsidRPr="00D54431">
        <w:rPr>
          <w:rFonts w:eastAsia="Times New Roman"/>
          <w:color w:val="000000"/>
          <w:shd w:val="clear" w:color="auto" w:fill="F2F2F2"/>
        </w:rPr>
        <w:t>Web.</w:t>
      </w:r>
      <w:proofErr w:type="gramEnd"/>
      <w:r w:rsidRPr="00D54431">
        <w:rPr>
          <w:rFonts w:eastAsia="Times New Roman"/>
          <w:color w:val="000000"/>
          <w:shd w:val="clear" w:color="auto" w:fill="F2F2F2"/>
        </w:rPr>
        <w:t xml:space="preserve"> 19 Nov. 2014.</w:t>
      </w:r>
    </w:p>
    <w:p w:rsidR="00555354" w:rsidRDefault="00555354" w:rsidP="009F5462">
      <w:pPr>
        <w:spacing w:line="480" w:lineRule="auto"/>
        <w:ind w:left="450" w:hanging="450"/>
        <w:rPr>
          <w:rFonts w:eastAsia="Times New Roman"/>
          <w:color w:val="000000"/>
          <w:shd w:val="clear" w:color="auto" w:fill="F2F2F2"/>
        </w:rPr>
      </w:pPr>
      <w:proofErr w:type="spellStart"/>
      <w:r w:rsidRPr="00420036">
        <w:rPr>
          <w:rFonts w:eastAsia="Times New Roman"/>
          <w:color w:val="000000"/>
          <w:shd w:val="clear" w:color="auto" w:fill="F2F2F2"/>
        </w:rPr>
        <w:t>Domhoff</w:t>
      </w:r>
      <w:proofErr w:type="spellEnd"/>
      <w:r w:rsidRPr="00420036">
        <w:rPr>
          <w:rFonts w:eastAsia="Times New Roman"/>
          <w:color w:val="000000"/>
          <w:shd w:val="clear" w:color="auto" w:fill="F2F2F2"/>
        </w:rPr>
        <w:t>, G. William. </w:t>
      </w:r>
      <w:r w:rsidRPr="00420036">
        <w:rPr>
          <w:rFonts w:eastAsia="Times New Roman"/>
          <w:i/>
          <w:iCs/>
          <w:color w:val="000000"/>
          <w:shd w:val="clear" w:color="auto" w:fill="F2F2F2"/>
        </w:rPr>
        <w:t>Who Rules America</w:t>
      </w:r>
      <w:proofErr w:type="gramStart"/>
      <w:r w:rsidRPr="00420036">
        <w:rPr>
          <w:rFonts w:eastAsia="Times New Roman"/>
          <w:i/>
          <w:iCs/>
          <w:color w:val="000000"/>
          <w:shd w:val="clear" w:color="auto" w:fill="F2F2F2"/>
        </w:rPr>
        <w:t>?:</w:t>
      </w:r>
      <w:proofErr w:type="gramEnd"/>
      <w:r w:rsidRPr="00420036">
        <w:rPr>
          <w:rFonts w:eastAsia="Times New Roman"/>
          <w:i/>
          <w:iCs/>
          <w:color w:val="000000"/>
          <w:shd w:val="clear" w:color="auto" w:fill="F2F2F2"/>
        </w:rPr>
        <w:t xml:space="preserve"> The Triumph of the Corporate Rich</w:t>
      </w:r>
      <w:r w:rsidRPr="00420036">
        <w:rPr>
          <w:rFonts w:eastAsia="Times New Roman"/>
          <w:color w:val="000000"/>
          <w:shd w:val="clear" w:color="auto" w:fill="F2F2F2"/>
        </w:rPr>
        <w:t xml:space="preserve">. 7th </w:t>
      </w:r>
      <w:proofErr w:type="gramStart"/>
      <w:r w:rsidRPr="00420036">
        <w:rPr>
          <w:rFonts w:eastAsia="Times New Roman"/>
          <w:color w:val="000000"/>
          <w:shd w:val="clear" w:color="auto" w:fill="F2F2F2"/>
        </w:rPr>
        <w:t>ed</w:t>
      </w:r>
      <w:proofErr w:type="gramEnd"/>
      <w:r w:rsidRPr="00420036">
        <w:rPr>
          <w:rFonts w:eastAsia="Times New Roman"/>
          <w:color w:val="000000"/>
          <w:shd w:val="clear" w:color="auto" w:fill="F2F2F2"/>
        </w:rPr>
        <w:t>. New York, NY: McGraw Hill, 2014. Print.</w:t>
      </w:r>
    </w:p>
    <w:p w:rsidR="00702CE2" w:rsidRDefault="00702CE2" w:rsidP="00702CE2">
      <w:pPr>
        <w:spacing w:line="480" w:lineRule="auto"/>
        <w:ind w:left="450" w:hanging="450"/>
        <w:rPr>
          <w:shd w:val="clear" w:color="auto" w:fill="F2F2F2"/>
        </w:rPr>
      </w:pPr>
      <w:r w:rsidRPr="004A51A7">
        <w:rPr>
          <w:shd w:val="clear" w:color="auto" w:fill="F2F2F2"/>
        </w:rPr>
        <w:t xml:space="preserve">Fischer, Brendan. "Why Did </w:t>
      </w:r>
      <w:proofErr w:type="spellStart"/>
      <w:r w:rsidRPr="004A51A7">
        <w:rPr>
          <w:shd w:val="clear" w:color="auto" w:fill="F2F2F2"/>
        </w:rPr>
        <w:t>PhRMA</w:t>
      </w:r>
      <w:proofErr w:type="spellEnd"/>
      <w:r w:rsidRPr="004A51A7">
        <w:rPr>
          <w:shd w:val="clear" w:color="auto" w:fill="F2F2F2"/>
        </w:rPr>
        <w:t xml:space="preserve"> Spend $356K on ALEC in Wisconsin?"</w:t>
      </w:r>
      <w:r w:rsidR="00FC0B32">
        <w:rPr>
          <w:shd w:val="clear" w:color="auto" w:fill="F2F2F2"/>
        </w:rPr>
        <w:t xml:space="preserve"> </w:t>
      </w:r>
      <w:r w:rsidRPr="004A51A7">
        <w:rPr>
          <w:i/>
          <w:iCs/>
          <w:shd w:val="clear" w:color="auto" w:fill="F2F2F2"/>
        </w:rPr>
        <w:t>PR Watch</w:t>
      </w:r>
      <w:r w:rsidRPr="004A51A7">
        <w:rPr>
          <w:shd w:val="clear" w:color="auto" w:fill="F2F2F2"/>
        </w:rPr>
        <w:t xml:space="preserve">. </w:t>
      </w:r>
      <w:proofErr w:type="spellStart"/>
      <w:proofErr w:type="gramStart"/>
      <w:r w:rsidRPr="004A51A7">
        <w:rPr>
          <w:shd w:val="clear" w:color="auto" w:fill="F2F2F2"/>
        </w:rPr>
        <w:t>N.p</w:t>
      </w:r>
      <w:proofErr w:type="spellEnd"/>
      <w:proofErr w:type="gramEnd"/>
      <w:r w:rsidRPr="004A51A7">
        <w:rPr>
          <w:shd w:val="clear" w:color="auto" w:fill="F2F2F2"/>
        </w:rPr>
        <w:t xml:space="preserve">., 12 Mar. 2012. </w:t>
      </w:r>
      <w:proofErr w:type="gramStart"/>
      <w:r w:rsidRPr="004A51A7">
        <w:rPr>
          <w:shd w:val="clear" w:color="auto" w:fill="F2F2F2"/>
        </w:rPr>
        <w:t>Web.</w:t>
      </w:r>
      <w:proofErr w:type="gramEnd"/>
      <w:r w:rsidRPr="004A51A7">
        <w:rPr>
          <w:shd w:val="clear" w:color="auto" w:fill="F2F2F2"/>
        </w:rPr>
        <w:t xml:space="preserve"> 20 Nov. 2014.</w:t>
      </w:r>
    </w:p>
    <w:p w:rsidR="00702CE2" w:rsidRPr="00702CE2" w:rsidRDefault="00702CE2" w:rsidP="00702CE2">
      <w:pPr>
        <w:tabs>
          <w:tab w:val="left" w:pos="-270"/>
        </w:tabs>
        <w:spacing w:line="480" w:lineRule="auto"/>
        <w:ind w:left="450" w:hanging="450"/>
        <w:rPr>
          <w:rFonts w:eastAsia="Times New Roman"/>
          <w:color w:val="000000"/>
          <w:shd w:val="clear" w:color="auto" w:fill="F2F2F2"/>
        </w:rPr>
      </w:pPr>
      <w:r w:rsidRPr="00D54431">
        <w:rPr>
          <w:rFonts w:eastAsia="Times New Roman"/>
          <w:color w:val="000000"/>
          <w:shd w:val="clear" w:color="auto" w:fill="F2F2F2"/>
        </w:rPr>
        <w:t>Greeley, Brendan. "ALEC's Secrets Revealed; Corporations Flee</w:t>
      </w:r>
      <w:proofErr w:type="gramStart"/>
      <w:r w:rsidRPr="00D54431">
        <w:rPr>
          <w:rFonts w:eastAsia="Times New Roman"/>
          <w:color w:val="000000"/>
          <w:shd w:val="clear" w:color="auto" w:fill="F2F2F2"/>
        </w:rPr>
        <w:t>.</w:t>
      </w:r>
      <w:r w:rsidR="00FC0B32">
        <w:rPr>
          <w:rFonts w:eastAsia="Times New Roman"/>
          <w:color w:val="000000"/>
          <w:shd w:val="clear" w:color="auto" w:fill="F2F2F2"/>
        </w:rPr>
        <w:t xml:space="preserve"> </w:t>
      </w:r>
      <w:r w:rsidRPr="00D54431">
        <w:rPr>
          <w:rFonts w:eastAsia="Times New Roman"/>
          <w:color w:val="000000"/>
          <w:shd w:val="clear" w:color="auto" w:fill="F2F2F2"/>
        </w:rPr>
        <w:t>"</w:t>
      </w:r>
      <w:r w:rsidRPr="00D54431">
        <w:rPr>
          <w:rFonts w:eastAsia="Times New Roman"/>
          <w:i/>
          <w:iCs/>
          <w:color w:val="000000"/>
          <w:shd w:val="clear" w:color="auto" w:fill="F2F2F2"/>
        </w:rPr>
        <w:t>Bloomberg Business Week</w:t>
      </w:r>
      <w:r w:rsidRPr="00D54431">
        <w:rPr>
          <w:rFonts w:eastAsia="Times New Roman"/>
          <w:color w:val="000000"/>
          <w:shd w:val="clear" w:color="auto" w:fill="F2F2F2"/>
        </w:rPr>
        <w:t>.</w:t>
      </w:r>
      <w:proofErr w:type="gramEnd"/>
      <w:r w:rsidRPr="00D54431">
        <w:rPr>
          <w:rFonts w:eastAsia="Times New Roman"/>
          <w:color w:val="000000"/>
          <w:shd w:val="clear" w:color="auto" w:fill="F2F2F2"/>
        </w:rPr>
        <w:t xml:space="preserve"> Bloomberg, 03 May 2012. </w:t>
      </w:r>
      <w:proofErr w:type="gramStart"/>
      <w:r w:rsidRPr="00D54431">
        <w:rPr>
          <w:rFonts w:eastAsia="Times New Roman"/>
          <w:color w:val="000000"/>
          <w:shd w:val="clear" w:color="auto" w:fill="F2F2F2"/>
        </w:rPr>
        <w:t>Web.</w:t>
      </w:r>
      <w:proofErr w:type="gramEnd"/>
      <w:r w:rsidRPr="00D54431">
        <w:rPr>
          <w:rFonts w:eastAsia="Times New Roman"/>
          <w:color w:val="000000"/>
          <w:shd w:val="clear" w:color="auto" w:fill="F2F2F2"/>
        </w:rPr>
        <w:t xml:space="preserve"> 19 Nov. 2014.</w:t>
      </w:r>
    </w:p>
    <w:p w:rsidR="00555354" w:rsidRDefault="00555354" w:rsidP="009F5462">
      <w:pPr>
        <w:spacing w:line="480" w:lineRule="auto"/>
        <w:ind w:left="450" w:hanging="450"/>
        <w:rPr>
          <w:rFonts w:eastAsia="Times New Roman"/>
          <w:color w:val="000000"/>
          <w:shd w:val="clear" w:color="auto" w:fill="F2F2F2"/>
        </w:rPr>
      </w:pPr>
      <w:proofErr w:type="gramStart"/>
      <w:r w:rsidRPr="00420036">
        <w:rPr>
          <w:rFonts w:eastAsia="Times New Roman"/>
          <w:color w:val="000000"/>
          <w:shd w:val="clear" w:color="auto" w:fill="F2F2F2"/>
        </w:rPr>
        <w:t>"History - ALEC - American Legislative Exchange Council."</w:t>
      </w:r>
      <w:proofErr w:type="gramEnd"/>
      <w:r w:rsidRPr="00420036">
        <w:rPr>
          <w:rFonts w:eastAsia="Times New Roman"/>
          <w:color w:val="000000"/>
          <w:shd w:val="clear" w:color="auto" w:fill="F2F2F2"/>
        </w:rPr>
        <w:t> </w:t>
      </w:r>
      <w:proofErr w:type="gramStart"/>
      <w:r w:rsidRPr="00420036">
        <w:rPr>
          <w:rFonts w:eastAsia="Times New Roman"/>
          <w:i/>
          <w:iCs/>
          <w:color w:val="000000"/>
          <w:shd w:val="clear" w:color="auto" w:fill="F2F2F2"/>
        </w:rPr>
        <w:t>ALEC American Legislative Exchange Council</w:t>
      </w:r>
      <w:r w:rsidRPr="00420036">
        <w:rPr>
          <w:rFonts w:eastAsia="Times New Roman"/>
          <w:color w:val="000000"/>
          <w:shd w:val="clear" w:color="auto" w:fill="F2F2F2"/>
        </w:rPr>
        <w:t>.</w:t>
      </w:r>
      <w:proofErr w:type="gramEnd"/>
      <w:r w:rsidRPr="00420036">
        <w:rPr>
          <w:rFonts w:eastAsia="Times New Roman"/>
          <w:color w:val="000000"/>
          <w:shd w:val="clear" w:color="auto" w:fill="F2F2F2"/>
        </w:rPr>
        <w:t xml:space="preserve"> </w:t>
      </w:r>
      <w:proofErr w:type="spellStart"/>
      <w:proofErr w:type="gramStart"/>
      <w:r w:rsidRPr="00420036">
        <w:rPr>
          <w:rFonts w:eastAsia="Times New Roman"/>
          <w:color w:val="000000"/>
          <w:shd w:val="clear" w:color="auto" w:fill="F2F2F2"/>
        </w:rPr>
        <w:t>N.p</w:t>
      </w:r>
      <w:proofErr w:type="spellEnd"/>
      <w:proofErr w:type="gramEnd"/>
      <w:r w:rsidRPr="00420036">
        <w:rPr>
          <w:rFonts w:eastAsia="Times New Roman"/>
          <w:color w:val="000000"/>
          <w:shd w:val="clear" w:color="auto" w:fill="F2F2F2"/>
        </w:rPr>
        <w:t xml:space="preserve">., </w:t>
      </w:r>
      <w:proofErr w:type="spellStart"/>
      <w:r w:rsidRPr="00420036">
        <w:rPr>
          <w:rFonts w:eastAsia="Times New Roman"/>
          <w:color w:val="000000"/>
          <w:shd w:val="clear" w:color="auto" w:fill="F2F2F2"/>
        </w:rPr>
        <w:t>n.d.</w:t>
      </w:r>
      <w:proofErr w:type="spellEnd"/>
      <w:r w:rsidRPr="00420036">
        <w:rPr>
          <w:rFonts w:eastAsia="Times New Roman"/>
          <w:color w:val="000000"/>
          <w:shd w:val="clear" w:color="auto" w:fill="F2F2F2"/>
        </w:rPr>
        <w:t xml:space="preserve"> Web. 15 Nov. 2014.</w:t>
      </w:r>
    </w:p>
    <w:p w:rsidR="00702CE2" w:rsidRDefault="00702CE2" w:rsidP="00702CE2">
      <w:pPr>
        <w:spacing w:line="480" w:lineRule="auto"/>
        <w:ind w:left="450" w:hanging="450"/>
        <w:rPr>
          <w:rFonts w:eastAsia="Times New Roman"/>
          <w:color w:val="000000"/>
          <w:shd w:val="clear" w:color="auto" w:fill="F2F2F2"/>
        </w:rPr>
      </w:pPr>
      <w:r w:rsidRPr="008524D7">
        <w:rPr>
          <w:rFonts w:eastAsia="Times New Roman"/>
          <w:color w:val="000000"/>
          <w:shd w:val="clear" w:color="auto" w:fill="F2F2F2"/>
        </w:rPr>
        <w:t>"Koch Industries Climate Denial Front Group." </w:t>
      </w:r>
      <w:proofErr w:type="gramStart"/>
      <w:r w:rsidRPr="008524D7">
        <w:rPr>
          <w:rFonts w:eastAsia="Times New Roman"/>
          <w:i/>
          <w:iCs/>
          <w:color w:val="000000"/>
          <w:shd w:val="clear" w:color="auto" w:fill="F2F2F2"/>
        </w:rPr>
        <w:t>Greenpeace</w:t>
      </w:r>
      <w:r w:rsidRPr="008524D7">
        <w:rPr>
          <w:rFonts w:eastAsia="Times New Roman"/>
          <w:color w:val="000000"/>
          <w:shd w:val="clear" w:color="auto" w:fill="F2F2F2"/>
        </w:rPr>
        <w:t>.</w:t>
      </w:r>
      <w:proofErr w:type="gramEnd"/>
      <w:r w:rsidRPr="008524D7">
        <w:rPr>
          <w:rFonts w:eastAsia="Times New Roman"/>
          <w:color w:val="000000"/>
          <w:shd w:val="clear" w:color="auto" w:fill="F2F2F2"/>
        </w:rPr>
        <w:t xml:space="preserve"> </w:t>
      </w:r>
      <w:proofErr w:type="spellStart"/>
      <w:proofErr w:type="gramStart"/>
      <w:r w:rsidRPr="008524D7">
        <w:rPr>
          <w:rFonts w:eastAsia="Times New Roman"/>
          <w:color w:val="000000"/>
          <w:shd w:val="clear" w:color="auto" w:fill="F2F2F2"/>
        </w:rPr>
        <w:t>N.p</w:t>
      </w:r>
      <w:proofErr w:type="spellEnd"/>
      <w:proofErr w:type="gramEnd"/>
      <w:r w:rsidRPr="008524D7">
        <w:rPr>
          <w:rFonts w:eastAsia="Times New Roman"/>
          <w:color w:val="000000"/>
          <w:shd w:val="clear" w:color="auto" w:fill="F2F2F2"/>
        </w:rPr>
        <w:t xml:space="preserve">., </w:t>
      </w:r>
      <w:proofErr w:type="spellStart"/>
      <w:r w:rsidRPr="008524D7">
        <w:rPr>
          <w:rFonts w:eastAsia="Times New Roman"/>
          <w:color w:val="000000"/>
          <w:shd w:val="clear" w:color="auto" w:fill="F2F2F2"/>
        </w:rPr>
        <w:t>n.d.</w:t>
      </w:r>
      <w:proofErr w:type="spellEnd"/>
      <w:r w:rsidRPr="008524D7">
        <w:rPr>
          <w:rFonts w:eastAsia="Times New Roman"/>
          <w:color w:val="000000"/>
          <w:shd w:val="clear" w:color="auto" w:fill="F2F2F2"/>
        </w:rPr>
        <w:t xml:space="preserve"> Web. 19 Nov. 2014.</w:t>
      </w:r>
    </w:p>
    <w:p w:rsidR="009F5462" w:rsidRDefault="009F5462" w:rsidP="00090888">
      <w:pPr>
        <w:spacing w:line="480" w:lineRule="auto"/>
        <w:rPr>
          <w:rFonts w:eastAsia="Times New Roman"/>
          <w:color w:val="000000"/>
          <w:shd w:val="clear" w:color="auto" w:fill="F2F2F2"/>
        </w:rPr>
      </w:pPr>
      <w:proofErr w:type="gramStart"/>
      <w:r w:rsidRPr="004A51A7">
        <w:rPr>
          <w:rFonts w:eastAsia="Times New Roman"/>
          <w:color w:val="000000"/>
          <w:shd w:val="clear" w:color="auto" w:fill="F2F2F2"/>
        </w:rPr>
        <w:t>"Lobby."</w:t>
      </w:r>
      <w:proofErr w:type="gramEnd"/>
      <w:r w:rsidRPr="004A51A7">
        <w:rPr>
          <w:rFonts w:eastAsia="Times New Roman"/>
          <w:color w:val="000000"/>
          <w:shd w:val="clear" w:color="auto" w:fill="F2F2F2"/>
        </w:rPr>
        <w:t> </w:t>
      </w:r>
      <w:proofErr w:type="gramStart"/>
      <w:r w:rsidRPr="004A51A7">
        <w:rPr>
          <w:rFonts w:eastAsia="Times New Roman"/>
          <w:i/>
          <w:iCs/>
          <w:color w:val="000000"/>
          <w:shd w:val="clear" w:color="auto" w:fill="F2F2F2"/>
        </w:rPr>
        <w:t>Merriam-Webster</w:t>
      </w:r>
      <w:r w:rsidRPr="004A51A7">
        <w:rPr>
          <w:rFonts w:eastAsia="Times New Roman"/>
          <w:color w:val="000000"/>
          <w:shd w:val="clear" w:color="auto" w:fill="F2F2F2"/>
        </w:rPr>
        <w:t>.</w:t>
      </w:r>
      <w:proofErr w:type="gramEnd"/>
      <w:r w:rsidRPr="004A51A7">
        <w:rPr>
          <w:rFonts w:eastAsia="Times New Roman"/>
          <w:color w:val="000000"/>
          <w:shd w:val="clear" w:color="auto" w:fill="F2F2F2"/>
        </w:rPr>
        <w:t xml:space="preserve"> </w:t>
      </w:r>
      <w:proofErr w:type="gramStart"/>
      <w:r w:rsidRPr="004A51A7">
        <w:rPr>
          <w:rFonts w:eastAsia="Times New Roman"/>
          <w:color w:val="000000"/>
          <w:shd w:val="clear" w:color="auto" w:fill="F2F2F2"/>
        </w:rPr>
        <w:t xml:space="preserve">Merriam-Webster, </w:t>
      </w:r>
      <w:proofErr w:type="spellStart"/>
      <w:r w:rsidRPr="004A51A7">
        <w:rPr>
          <w:rFonts w:eastAsia="Times New Roman"/>
          <w:color w:val="000000"/>
          <w:shd w:val="clear" w:color="auto" w:fill="F2F2F2"/>
        </w:rPr>
        <w:t>n.d.</w:t>
      </w:r>
      <w:proofErr w:type="spellEnd"/>
      <w:r w:rsidRPr="004A51A7">
        <w:rPr>
          <w:rFonts w:eastAsia="Times New Roman"/>
          <w:color w:val="000000"/>
          <w:shd w:val="clear" w:color="auto" w:fill="F2F2F2"/>
        </w:rPr>
        <w:t xml:space="preserve"> Web.</w:t>
      </w:r>
      <w:proofErr w:type="gramEnd"/>
      <w:r w:rsidRPr="004A51A7">
        <w:rPr>
          <w:rFonts w:eastAsia="Times New Roman"/>
          <w:color w:val="000000"/>
          <w:shd w:val="clear" w:color="auto" w:fill="F2F2F2"/>
        </w:rPr>
        <w:t xml:space="preserve"> 21 Nov. 2014.</w:t>
      </w:r>
    </w:p>
    <w:p w:rsidR="00702CE2" w:rsidRDefault="00702CE2" w:rsidP="00702CE2">
      <w:pPr>
        <w:spacing w:line="480" w:lineRule="auto"/>
        <w:rPr>
          <w:rFonts w:eastAsia="Times New Roman"/>
          <w:color w:val="000000"/>
          <w:shd w:val="clear" w:color="auto" w:fill="F2F2F2"/>
        </w:rPr>
      </w:pPr>
      <w:r w:rsidRPr="00420036">
        <w:rPr>
          <w:rFonts w:eastAsia="Times New Roman"/>
          <w:color w:val="000000"/>
          <w:shd w:val="clear" w:color="auto" w:fill="F2F2F2"/>
        </w:rPr>
        <w:t>"What Is ALEC?" </w:t>
      </w:r>
      <w:r w:rsidRPr="00420036">
        <w:rPr>
          <w:rFonts w:eastAsia="Times New Roman"/>
          <w:i/>
          <w:iCs/>
          <w:color w:val="000000"/>
          <w:shd w:val="clear" w:color="auto" w:fill="F2F2F2"/>
        </w:rPr>
        <w:t>- ALEC Exposed</w:t>
      </w:r>
      <w:r w:rsidRPr="000A6FF4">
        <w:rPr>
          <w:rFonts w:eastAsia="Times New Roman"/>
          <w:color w:val="000000"/>
          <w:shd w:val="clear" w:color="auto" w:fill="F2F2F2"/>
        </w:rPr>
        <w:t xml:space="preserve">. </w:t>
      </w:r>
      <w:proofErr w:type="spellStart"/>
      <w:proofErr w:type="gramStart"/>
      <w:r w:rsidRPr="000A6FF4">
        <w:rPr>
          <w:rFonts w:eastAsia="Times New Roman"/>
          <w:color w:val="000000"/>
          <w:shd w:val="clear" w:color="auto" w:fill="F2F2F2"/>
        </w:rPr>
        <w:t>N.p</w:t>
      </w:r>
      <w:proofErr w:type="spellEnd"/>
      <w:proofErr w:type="gramEnd"/>
      <w:r w:rsidRPr="000A6FF4">
        <w:rPr>
          <w:rFonts w:eastAsia="Times New Roman"/>
          <w:color w:val="000000"/>
          <w:shd w:val="clear" w:color="auto" w:fill="F2F2F2"/>
        </w:rPr>
        <w:t xml:space="preserve">., </w:t>
      </w:r>
      <w:proofErr w:type="spellStart"/>
      <w:r w:rsidRPr="000A6FF4">
        <w:rPr>
          <w:rFonts w:eastAsia="Times New Roman"/>
          <w:color w:val="000000"/>
          <w:shd w:val="clear" w:color="auto" w:fill="F2F2F2"/>
        </w:rPr>
        <w:t>n.d.</w:t>
      </w:r>
      <w:proofErr w:type="spellEnd"/>
      <w:r w:rsidRPr="000A6FF4">
        <w:rPr>
          <w:rFonts w:eastAsia="Times New Roman"/>
          <w:color w:val="000000"/>
          <w:shd w:val="clear" w:color="auto" w:fill="F2F2F2"/>
        </w:rPr>
        <w:t xml:space="preserve"> Web. 17 Nov. 2014.</w:t>
      </w:r>
    </w:p>
    <w:p w:rsidR="00702CE2" w:rsidRPr="00961056" w:rsidRDefault="00702CE2" w:rsidP="00090888">
      <w:pPr>
        <w:spacing w:line="480" w:lineRule="auto"/>
      </w:pPr>
    </w:p>
    <w:sectPr w:rsidR="00702CE2" w:rsidRPr="00961056" w:rsidSect="001C7304">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298" w:rsidRDefault="00077298" w:rsidP="00C21BD0">
      <w:r>
        <w:separator/>
      </w:r>
    </w:p>
  </w:endnote>
  <w:endnote w:type="continuationSeparator" w:id="0">
    <w:p w:rsidR="00077298" w:rsidRDefault="00077298" w:rsidP="00C21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38" w:rsidRDefault="00835D55" w:rsidP="002D3238">
    <w:pPr>
      <w:pStyle w:val="Footer"/>
      <w:framePr w:wrap="around" w:vAnchor="text" w:hAnchor="margin" w:xAlign="right" w:y="1"/>
      <w:rPr>
        <w:rStyle w:val="PageNumber"/>
      </w:rPr>
    </w:pPr>
    <w:r>
      <w:rPr>
        <w:rStyle w:val="PageNumber"/>
      </w:rPr>
      <w:fldChar w:fldCharType="begin"/>
    </w:r>
    <w:r w:rsidR="002D3238">
      <w:rPr>
        <w:rStyle w:val="PageNumber"/>
      </w:rPr>
      <w:instrText xml:space="preserve">PAGE  </w:instrText>
    </w:r>
    <w:r>
      <w:rPr>
        <w:rStyle w:val="PageNumber"/>
      </w:rPr>
      <w:fldChar w:fldCharType="end"/>
    </w:r>
  </w:p>
  <w:p w:rsidR="002D3238" w:rsidRDefault="002D3238" w:rsidP="00B158D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3238" w:rsidRDefault="00835D55" w:rsidP="002D3238">
    <w:pPr>
      <w:pStyle w:val="Footer"/>
      <w:framePr w:wrap="around" w:vAnchor="text" w:hAnchor="margin" w:xAlign="right" w:y="1"/>
      <w:rPr>
        <w:rStyle w:val="PageNumber"/>
      </w:rPr>
    </w:pPr>
    <w:r>
      <w:rPr>
        <w:rStyle w:val="PageNumber"/>
      </w:rPr>
      <w:fldChar w:fldCharType="begin"/>
    </w:r>
    <w:r w:rsidR="002D3238">
      <w:rPr>
        <w:rStyle w:val="PageNumber"/>
      </w:rPr>
      <w:instrText xml:space="preserve">PAGE  </w:instrText>
    </w:r>
    <w:r>
      <w:rPr>
        <w:rStyle w:val="PageNumber"/>
      </w:rPr>
      <w:fldChar w:fldCharType="separate"/>
    </w:r>
    <w:r w:rsidR="00D13095">
      <w:rPr>
        <w:rStyle w:val="PageNumber"/>
        <w:noProof/>
      </w:rPr>
      <w:t>1</w:t>
    </w:r>
    <w:r>
      <w:rPr>
        <w:rStyle w:val="PageNumber"/>
      </w:rPr>
      <w:fldChar w:fldCharType="end"/>
    </w:r>
  </w:p>
  <w:p w:rsidR="002D3238" w:rsidRDefault="002D3238" w:rsidP="00B158D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298" w:rsidRDefault="00077298" w:rsidP="00C21BD0">
      <w:r>
        <w:separator/>
      </w:r>
    </w:p>
  </w:footnote>
  <w:footnote w:type="continuationSeparator" w:id="0">
    <w:p w:rsidR="00077298" w:rsidRDefault="00077298" w:rsidP="00C21BD0">
      <w:r>
        <w:continuationSeparator/>
      </w:r>
    </w:p>
  </w:footnote>
  <w:footnote w:id="1">
    <w:p w:rsidR="002D3238" w:rsidRDefault="002D3238">
      <w:pPr>
        <w:pStyle w:val="FootnoteText"/>
      </w:pPr>
      <w:r>
        <w:rPr>
          <w:rStyle w:val="FootnoteReference"/>
        </w:rPr>
        <w:footnoteRef/>
      </w:r>
      <w:r>
        <w:t xml:space="preserve"> </w:t>
      </w:r>
      <w:proofErr w:type="spellStart"/>
      <w:r w:rsidRPr="00420036">
        <w:rPr>
          <w:rFonts w:eastAsia="Times New Roman"/>
          <w:color w:val="000000"/>
          <w:shd w:val="clear" w:color="auto" w:fill="F2F2F2"/>
        </w:rPr>
        <w:t>Domhoff</w:t>
      </w:r>
      <w:proofErr w:type="spellEnd"/>
      <w:r w:rsidRPr="00420036">
        <w:rPr>
          <w:rFonts w:eastAsia="Times New Roman"/>
          <w:color w:val="000000"/>
          <w:shd w:val="clear" w:color="auto" w:fill="F2F2F2"/>
        </w:rPr>
        <w:t>, G. William. </w:t>
      </w:r>
      <w:r w:rsidRPr="00420036">
        <w:rPr>
          <w:rFonts w:eastAsia="Times New Roman"/>
          <w:i/>
          <w:iCs/>
          <w:color w:val="000000"/>
          <w:shd w:val="clear" w:color="auto" w:fill="F2F2F2"/>
        </w:rPr>
        <w:t>Who Rules America</w:t>
      </w:r>
      <w:proofErr w:type="gramStart"/>
      <w:r w:rsidRPr="00420036">
        <w:rPr>
          <w:rFonts w:eastAsia="Times New Roman"/>
          <w:i/>
          <w:iCs/>
          <w:color w:val="000000"/>
          <w:shd w:val="clear" w:color="auto" w:fill="F2F2F2"/>
        </w:rPr>
        <w:t>?:</w:t>
      </w:r>
      <w:proofErr w:type="gramEnd"/>
      <w:r w:rsidRPr="00420036">
        <w:rPr>
          <w:rFonts w:eastAsia="Times New Roman"/>
          <w:i/>
          <w:iCs/>
          <w:color w:val="000000"/>
          <w:shd w:val="clear" w:color="auto" w:fill="F2F2F2"/>
        </w:rPr>
        <w:t xml:space="preserve"> The Triumph of the Corporate Rich</w:t>
      </w:r>
      <w:r w:rsidRPr="00420036">
        <w:rPr>
          <w:rFonts w:eastAsia="Times New Roman"/>
          <w:color w:val="000000"/>
          <w:shd w:val="clear" w:color="auto" w:fill="F2F2F2"/>
        </w:rPr>
        <w:t xml:space="preserve">. 7th </w:t>
      </w:r>
      <w:proofErr w:type="gramStart"/>
      <w:r w:rsidRPr="00420036">
        <w:rPr>
          <w:rFonts w:eastAsia="Times New Roman"/>
          <w:color w:val="000000"/>
          <w:shd w:val="clear" w:color="auto" w:fill="F2F2F2"/>
        </w:rPr>
        <w:t>ed</w:t>
      </w:r>
      <w:proofErr w:type="gramEnd"/>
      <w:r w:rsidRPr="00420036">
        <w:rPr>
          <w:rFonts w:eastAsia="Times New Roman"/>
          <w:color w:val="000000"/>
          <w:shd w:val="clear" w:color="auto" w:fill="F2F2F2"/>
        </w:rPr>
        <w:t>. New York, NY: McGraw Hill, 2014. Print. P. 76</w:t>
      </w:r>
    </w:p>
  </w:footnote>
  <w:footnote w:id="2">
    <w:p w:rsidR="002D3238" w:rsidRPr="00420036" w:rsidRDefault="002D3238">
      <w:pPr>
        <w:pStyle w:val="FootnoteText"/>
      </w:pPr>
      <w:r w:rsidRPr="00420036">
        <w:rPr>
          <w:rStyle w:val="FootnoteReference"/>
        </w:rPr>
        <w:footnoteRef/>
      </w:r>
      <w:r w:rsidRPr="00420036">
        <w:t xml:space="preserve"> </w:t>
      </w:r>
      <w:proofErr w:type="spellStart"/>
      <w:r w:rsidRPr="00420036">
        <w:t>Domhoff</w:t>
      </w:r>
      <w:proofErr w:type="spellEnd"/>
      <w:r w:rsidRPr="00420036">
        <w:t>, P. 76</w:t>
      </w:r>
    </w:p>
  </w:footnote>
  <w:footnote w:id="3">
    <w:p w:rsidR="002D3238" w:rsidRPr="00420036" w:rsidRDefault="002D3238" w:rsidP="00C21BD0">
      <w:pPr>
        <w:rPr>
          <w:rFonts w:eastAsia="Times New Roman"/>
        </w:rPr>
      </w:pPr>
      <w:r w:rsidRPr="00420036">
        <w:rPr>
          <w:rStyle w:val="FootnoteReference"/>
        </w:rPr>
        <w:footnoteRef/>
      </w:r>
      <w:r w:rsidRPr="00420036">
        <w:t xml:space="preserve"> </w:t>
      </w:r>
      <w:proofErr w:type="gramStart"/>
      <w:r w:rsidRPr="00420036">
        <w:rPr>
          <w:rFonts w:eastAsia="Times New Roman"/>
          <w:color w:val="000000"/>
          <w:shd w:val="clear" w:color="auto" w:fill="F2F2F2"/>
        </w:rPr>
        <w:t>"History - ALEC - American Legislative Exchange Council."</w:t>
      </w:r>
      <w:proofErr w:type="gramEnd"/>
      <w:r w:rsidRPr="00420036">
        <w:rPr>
          <w:rFonts w:eastAsia="Times New Roman"/>
          <w:color w:val="000000"/>
          <w:shd w:val="clear" w:color="auto" w:fill="F2F2F2"/>
        </w:rPr>
        <w:t> </w:t>
      </w:r>
      <w:proofErr w:type="gramStart"/>
      <w:r w:rsidRPr="00420036">
        <w:rPr>
          <w:rFonts w:eastAsia="Times New Roman"/>
          <w:i/>
          <w:iCs/>
          <w:color w:val="000000"/>
          <w:shd w:val="clear" w:color="auto" w:fill="F2F2F2"/>
        </w:rPr>
        <w:t>ALEC American Legislative Exchange Council</w:t>
      </w:r>
      <w:r w:rsidRPr="00420036">
        <w:rPr>
          <w:rFonts w:eastAsia="Times New Roman"/>
          <w:color w:val="000000"/>
          <w:shd w:val="clear" w:color="auto" w:fill="F2F2F2"/>
        </w:rPr>
        <w:t>.</w:t>
      </w:r>
      <w:proofErr w:type="gramEnd"/>
      <w:r w:rsidRPr="00420036">
        <w:rPr>
          <w:rFonts w:eastAsia="Times New Roman"/>
          <w:color w:val="000000"/>
          <w:shd w:val="clear" w:color="auto" w:fill="F2F2F2"/>
        </w:rPr>
        <w:t xml:space="preserve"> </w:t>
      </w:r>
      <w:proofErr w:type="spellStart"/>
      <w:proofErr w:type="gramStart"/>
      <w:r w:rsidRPr="00420036">
        <w:rPr>
          <w:rFonts w:eastAsia="Times New Roman"/>
          <w:color w:val="000000"/>
          <w:shd w:val="clear" w:color="auto" w:fill="F2F2F2"/>
        </w:rPr>
        <w:t>N.p</w:t>
      </w:r>
      <w:proofErr w:type="spellEnd"/>
      <w:proofErr w:type="gramEnd"/>
      <w:r w:rsidRPr="00420036">
        <w:rPr>
          <w:rFonts w:eastAsia="Times New Roman"/>
          <w:color w:val="000000"/>
          <w:shd w:val="clear" w:color="auto" w:fill="F2F2F2"/>
        </w:rPr>
        <w:t xml:space="preserve">., </w:t>
      </w:r>
      <w:proofErr w:type="spellStart"/>
      <w:r w:rsidRPr="00420036">
        <w:rPr>
          <w:rFonts w:eastAsia="Times New Roman"/>
          <w:color w:val="000000"/>
          <w:shd w:val="clear" w:color="auto" w:fill="F2F2F2"/>
        </w:rPr>
        <w:t>n.d.</w:t>
      </w:r>
      <w:proofErr w:type="spellEnd"/>
      <w:r w:rsidRPr="00420036">
        <w:rPr>
          <w:rFonts w:eastAsia="Times New Roman"/>
          <w:color w:val="000000"/>
          <w:shd w:val="clear" w:color="auto" w:fill="F2F2F2"/>
        </w:rPr>
        <w:t xml:space="preserve"> Web. 15 Nov. 2014.</w:t>
      </w:r>
    </w:p>
  </w:footnote>
  <w:footnote w:id="4">
    <w:p w:rsidR="002D3238" w:rsidRPr="000A6FF4" w:rsidRDefault="002D3238" w:rsidP="00407E11">
      <w:pPr>
        <w:rPr>
          <w:rFonts w:ascii="Times" w:eastAsia="Times New Roman" w:hAnsi="Times"/>
          <w:sz w:val="20"/>
          <w:szCs w:val="20"/>
        </w:rPr>
      </w:pPr>
      <w:r w:rsidRPr="00420036">
        <w:rPr>
          <w:rStyle w:val="FootnoteReference"/>
        </w:rPr>
        <w:footnoteRef/>
      </w:r>
      <w:r w:rsidRPr="00420036">
        <w:t xml:space="preserve"> </w:t>
      </w:r>
      <w:r w:rsidRPr="00420036">
        <w:rPr>
          <w:rFonts w:eastAsia="Times New Roman"/>
          <w:color w:val="000000"/>
          <w:shd w:val="clear" w:color="auto" w:fill="F2F2F2"/>
        </w:rPr>
        <w:t>"What Is ALEC?" </w:t>
      </w:r>
      <w:r w:rsidRPr="00420036">
        <w:rPr>
          <w:rFonts w:eastAsia="Times New Roman"/>
          <w:i/>
          <w:iCs/>
          <w:color w:val="000000"/>
          <w:shd w:val="clear" w:color="auto" w:fill="F2F2F2"/>
        </w:rPr>
        <w:t>- ALEC Exposed</w:t>
      </w:r>
      <w:r w:rsidRPr="000A6FF4">
        <w:rPr>
          <w:rFonts w:eastAsia="Times New Roman"/>
          <w:color w:val="000000"/>
          <w:shd w:val="clear" w:color="auto" w:fill="F2F2F2"/>
        </w:rPr>
        <w:t xml:space="preserve">. </w:t>
      </w:r>
      <w:proofErr w:type="spellStart"/>
      <w:proofErr w:type="gramStart"/>
      <w:r w:rsidRPr="000A6FF4">
        <w:rPr>
          <w:rFonts w:eastAsia="Times New Roman"/>
          <w:color w:val="000000"/>
          <w:shd w:val="clear" w:color="auto" w:fill="F2F2F2"/>
        </w:rPr>
        <w:t>N.p</w:t>
      </w:r>
      <w:proofErr w:type="spellEnd"/>
      <w:proofErr w:type="gramEnd"/>
      <w:r w:rsidRPr="000A6FF4">
        <w:rPr>
          <w:rFonts w:eastAsia="Times New Roman"/>
          <w:color w:val="000000"/>
          <w:shd w:val="clear" w:color="auto" w:fill="F2F2F2"/>
        </w:rPr>
        <w:t xml:space="preserve">., </w:t>
      </w:r>
      <w:proofErr w:type="spellStart"/>
      <w:r w:rsidRPr="000A6FF4">
        <w:rPr>
          <w:rFonts w:eastAsia="Times New Roman"/>
          <w:color w:val="000000"/>
          <w:shd w:val="clear" w:color="auto" w:fill="F2F2F2"/>
        </w:rPr>
        <w:t>n.d.</w:t>
      </w:r>
      <w:proofErr w:type="spellEnd"/>
      <w:r w:rsidRPr="000A6FF4">
        <w:rPr>
          <w:rFonts w:eastAsia="Times New Roman"/>
          <w:color w:val="000000"/>
          <w:shd w:val="clear" w:color="auto" w:fill="F2F2F2"/>
        </w:rPr>
        <w:t xml:space="preserve"> Web. 17 Nov. 2014.</w:t>
      </w:r>
    </w:p>
  </w:footnote>
  <w:footnote w:id="5">
    <w:p w:rsidR="002D3238" w:rsidRDefault="002D3238">
      <w:pPr>
        <w:pStyle w:val="FootnoteText"/>
      </w:pPr>
      <w:r>
        <w:rPr>
          <w:rStyle w:val="FootnoteReference"/>
        </w:rPr>
        <w:footnoteRef/>
      </w:r>
      <w:r>
        <w:t xml:space="preserve"> </w:t>
      </w:r>
      <w:proofErr w:type="gramStart"/>
      <w:r w:rsidRPr="00420036">
        <w:rPr>
          <w:rFonts w:eastAsia="Times New Roman"/>
          <w:color w:val="000000"/>
          <w:shd w:val="clear" w:color="auto" w:fill="F2F2F2"/>
        </w:rPr>
        <w:t>"History - ALEC - American Legislative Exchange Council."</w:t>
      </w:r>
      <w:proofErr w:type="gramEnd"/>
      <w:r w:rsidRPr="00420036">
        <w:rPr>
          <w:rFonts w:eastAsia="Times New Roman"/>
          <w:color w:val="000000"/>
          <w:shd w:val="clear" w:color="auto" w:fill="F2F2F2"/>
        </w:rPr>
        <w:t> </w:t>
      </w:r>
    </w:p>
  </w:footnote>
  <w:footnote w:id="6">
    <w:p w:rsidR="002D3238" w:rsidRPr="00D54431" w:rsidRDefault="002D3238" w:rsidP="008A1A81">
      <w:pPr>
        <w:rPr>
          <w:rFonts w:eastAsia="Times New Roman"/>
        </w:rPr>
      </w:pPr>
      <w:r w:rsidRPr="008524D7">
        <w:rPr>
          <w:rStyle w:val="FootnoteReference"/>
        </w:rPr>
        <w:footnoteRef/>
      </w:r>
      <w:r w:rsidRPr="008524D7">
        <w:t xml:space="preserve"> </w:t>
      </w:r>
      <w:proofErr w:type="gramStart"/>
      <w:r w:rsidRPr="008524D7">
        <w:rPr>
          <w:rFonts w:eastAsia="Times New Roman"/>
          <w:color w:val="000000"/>
          <w:shd w:val="clear" w:color="auto" w:fill="F2F2F2"/>
        </w:rPr>
        <w:t>"Conservative Transparency."</w:t>
      </w:r>
      <w:proofErr w:type="gramEnd"/>
      <w:r w:rsidRPr="008524D7">
        <w:rPr>
          <w:rFonts w:eastAsia="Times New Roman"/>
          <w:color w:val="000000"/>
          <w:shd w:val="clear" w:color="auto" w:fill="F2F2F2"/>
        </w:rPr>
        <w:t> </w:t>
      </w:r>
      <w:proofErr w:type="gramStart"/>
      <w:r w:rsidRPr="008524D7">
        <w:rPr>
          <w:rFonts w:eastAsia="Times New Roman"/>
          <w:i/>
          <w:iCs/>
          <w:color w:val="000000"/>
          <w:shd w:val="clear" w:color="auto" w:fill="F2F2F2"/>
        </w:rPr>
        <w:t>Conservative Transparency</w:t>
      </w:r>
      <w:r w:rsidRPr="008524D7">
        <w:rPr>
          <w:rFonts w:eastAsia="Times New Roman"/>
          <w:color w:val="000000"/>
          <w:shd w:val="clear" w:color="auto" w:fill="F2F2F2"/>
        </w:rPr>
        <w:t>.</w:t>
      </w:r>
      <w:proofErr w:type="gramEnd"/>
      <w:r w:rsidRPr="008524D7">
        <w:rPr>
          <w:rFonts w:eastAsia="Times New Roman"/>
          <w:color w:val="000000"/>
          <w:shd w:val="clear" w:color="auto" w:fill="F2F2F2"/>
        </w:rPr>
        <w:t xml:space="preserve"> </w:t>
      </w:r>
      <w:proofErr w:type="spellStart"/>
      <w:proofErr w:type="gramStart"/>
      <w:r w:rsidRPr="008524D7">
        <w:rPr>
          <w:rFonts w:eastAsia="Times New Roman"/>
          <w:color w:val="000000"/>
          <w:shd w:val="clear" w:color="auto" w:fill="F2F2F2"/>
        </w:rPr>
        <w:t>N.p</w:t>
      </w:r>
      <w:proofErr w:type="spellEnd"/>
      <w:proofErr w:type="gramEnd"/>
      <w:r w:rsidRPr="008524D7">
        <w:rPr>
          <w:rFonts w:eastAsia="Times New Roman"/>
          <w:color w:val="000000"/>
          <w:shd w:val="clear" w:color="auto" w:fill="F2F2F2"/>
        </w:rPr>
        <w:t xml:space="preserve">., </w:t>
      </w:r>
      <w:proofErr w:type="spellStart"/>
      <w:r w:rsidRPr="008524D7">
        <w:rPr>
          <w:rFonts w:eastAsia="Times New Roman"/>
          <w:color w:val="000000"/>
          <w:shd w:val="clear" w:color="auto" w:fill="F2F2F2"/>
        </w:rPr>
        <w:t>n.d.</w:t>
      </w:r>
      <w:proofErr w:type="spellEnd"/>
      <w:r w:rsidRPr="008524D7">
        <w:rPr>
          <w:rFonts w:eastAsia="Times New Roman"/>
          <w:color w:val="000000"/>
          <w:shd w:val="clear" w:color="auto" w:fill="F2F2F2"/>
        </w:rPr>
        <w:t xml:space="preserve"> Web. 19 Nov. </w:t>
      </w:r>
      <w:r w:rsidRPr="00D54431">
        <w:rPr>
          <w:rFonts w:eastAsia="Times New Roman"/>
          <w:color w:val="000000"/>
          <w:shd w:val="clear" w:color="auto" w:fill="F2F2F2"/>
        </w:rPr>
        <w:t>2014.</w:t>
      </w:r>
    </w:p>
  </w:footnote>
  <w:footnote w:id="7">
    <w:p w:rsidR="002D3238" w:rsidRPr="00D54431" w:rsidRDefault="002D3238" w:rsidP="00D54431">
      <w:pPr>
        <w:rPr>
          <w:rFonts w:eastAsia="Times New Roman"/>
        </w:rPr>
      </w:pPr>
      <w:r w:rsidRPr="00D54431">
        <w:rPr>
          <w:rStyle w:val="FootnoteReference"/>
        </w:rPr>
        <w:footnoteRef/>
      </w:r>
      <w:r w:rsidRPr="00D54431">
        <w:t xml:space="preserve"> </w:t>
      </w:r>
      <w:r w:rsidRPr="00D54431">
        <w:rPr>
          <w:rFonts w:eastAsia="Times New Roman"/>
          <w:color w:val="000000"/>
          <w:shd w:val="clear" w:color="auto" w:fill="F2F2F2"/>
        </w:rPr>
        <w:t xml:space="preserve">Greeley, Brendan. "ALEC's Secrets Revealed; Corporations </w:t>
      </w:r>
      <w:proofErr w:type="spellStart"/>
      <w:r w:rsidRPr="00D54431">
        <w:rPr>
          <w:rFonts w:eastAsia="Times New Roman"/>
          <w:color w:val="000000"/>
          <w:shd w:val="clear" w:color="auto" w:fill="F2F2F2"/>
        </w:rPr>
        <w:t>Flee."</w:t>
      </w:r>
      <w:proofErr w:type="gramStart"/>
      <w:r w:rsidRPr="00D54431">
        <w:rPr>
          <w:rFonts w:eastAsia="Times New Roman"/>
          <w:i/>
          <w:iCs/>
          <w:color w:val="000000"/>
          <w:shd w:val="clear" w:color="auto" w:fill="F2F2F2"/>
        </w:rPr>
        <w:t>Bloomberg</w:t>
      </w:r>
      <w:proofErr w:type="spellEnd"/>
      <w:r w:rsidRPr="00D54431">
        <w:rPr>
          <w:rFonts w:eastAsia="Times New Roman"/>
          <w:i/>
          <w:iCs/>
          <w:color w:val="000000"/>
          <w:shd w:val="clear" w:color="auto" w:fill="F2F2F2"/>
        </w:rPr>
        <w:t xml:space="preserve"> Business Week</w:t>
      </w:r>
      <w:r w:rsidRPr="00D54431">
        <w:rPr>
          <w:rFonts w:eastAsia="Times New Roman"/>
          <w:color w:val="000000"/>
          <w:shd w:val="clear" w:color="auto" w:fill="F2F2F2"/>
        </w:rPr>
        <w:t>.</w:t>
      </w:r>
      <w:proofErr w:type="gramEnd"/>
      <w:r w:rsidRPr="00D54431">
        <w:rPr>
          <w:rFonts w:eastAsia="Times New Roman"/>
          <w:color w:val="000000"/>
          <w:shd w:val="clear" w:color="auto" w:fill="F2F2F2"/>
        </w:rPr>
        <w:t xml:space="preserve"> Bloomberg, 03 May 2012. </w:t>
      </w:r>
      <w:proofErr w:type="gramStart"/>
      <w:r w:rsidRPr="00D54431">
        <w:rPr>
          <w:rFonts w:eastAsia="Times New Roman"/>
          <w:color w:val="000000"/>
          <w:shd w:val="clear" w:color="auto" w:fill="F2F2F2"/>
        </w:rPr>
        <w:t>Web.</w:t>
      </w:r>
      <w:proofErr w:type="gramEnd"/>
      <w:r w:rsidRPr="00D54431">
        <w:rPr>
          <w:rFonts w:eastAsia="Times New Roman"/>
          <w:color w:val="000000"/>
          <w:shd w:val="clear" w:color="auto" w:fill="F2F2F2"/>
        </w:rPr>
        <w:t xml:space="preserve"> 19 Nov. 2014.</w:t>
      </w:r>
    </w:p>
  </w:footnote>
  <w:footnote w:id="8">
    <w:p w:rsidR="002D3238" w:rsidRPr="008524D7" w:rsidRDefault="002D3238" w:rsidP="008524D7">
      <w:pPr>
        <w:rPr>
          <w:rFonts w:eastAsia="Times New Roman"/>
        </w:rPr>
      </w:pPr>
      <w:r w:rsidRPr="00D54431">
        <w:rPr>
          <w:rStyle w:val="FootnoteReference"/>
        </w:rPr>
        <w:footnoteRef/>
      </w:r>
      <w:r w:rsidRPr="00D54431">
        <w:t xml:space="preserve"> </w:t>
      </w:r>
      <w:r w:rsidRPr="00D54431">
        <w:rPr>
          <w:rFonts w:eastAsia="Times New Roman"/>
          <w:color w:val="000000"/>
          <w:shd w:val="clear" w:color="auto" w:fill="F2F2F2"/>
        </w:rPr>
        <w:t>"Direct Democracy Brings Economic Justice Wins, But Watch Out for ALEC." </w:t>
      </w:r>
      <w:r w:rsidRPr="00D54431">
        <w:rPr>
          <w:rFonts w:eastAsia="Times New Roman"/>
          <w:i/>
          <w:iCs/>
          <w:color w:val="000000"/>
          <w:shd w:val="clear" w:color="auto" w:fill="F2F2F2"/>
        </w:rPr>
        <w:t>PR Watch</w:t>
      </w:r>
      <w:r w:rsidRPr="00D54431">
        <w:rPr>
          <w:rFonts w:eastAsia="Times New Roman"/>
          <w:color w:val="000000"/>
          <w:shd w:val="clear" w:color="auto" w:fill="F2F2F2"/>
        </w:rPr>
        <w:t xml:space="preserve">. </w:t>
      </w:r>
      <w:proofErr w:type="spellStart"/>
      <w:proofErr w:type="gramStart"/>
      <w:r w:rsidRPr="00D54431">
        <w:rPr>
          <w:rFonts w:eastAsia="Times New Roman"/>
          <w:color w:val="000000"/>
          <w:shd w:val="clear" w:color="auto" w:fill="F2F2F2"/>
        </w:rPr>
        <w:t>N.p</w:t>
      </w:r>
      <w:proofErr w:type="spellEnd"/>
      <w:proofErr w:type="gramEnd"/>
      <w:r w:rsidRPr="00D54431">
        <w:rPr>
          <w:rFonts w:eastAsia="Times New Roman"/>
          <w:color w:val="000000"/>
          <w:shd w:val="clear" w:color="auto" w:fill="F2F2F2"/>
        </w:rPr>
        <w:t xml:space="preserve">., 05 Nov. 2014. </w:t>
      </w:r>
      <w:proofErr w:type="gramStart"/>
      <w:r w:rsidRPr="00D54431">
        <w:rPr>
          <w:rFonts w:eastAsia="Times New Roman"/>
          <w:color w:val="000000"/>
          <w:shd w:val="clear" w:color="auto" w:fill="F2F2F2"/>
        </w:rPr>
        <w:t>Web.</w:t>
      </w:r>
      <w:proofErr w:type="gramEnd"/>
      <w:r w:rsidRPr="00D54431">
        <w:rPr>
          <w:rFonts w:eastAsia="Times New Roman"/>
          <w:color w:val="000000"/>
          <w:shd w:val="clear" w:color="auto" w:fill="F2F2F2"/>
        </w:rPr>
        <w:t xml:space="preserve"> 19 Nov. 2014.</w:t>
      </w:r>
    </w:p>
  </w:footnote>
  <w:footnote w:id="9">
    <w:p w:rsidR="002D3238" w:rsidRPr="008524D7" w:rsidRDefault="002D3238" w:rsidP="008524D7">
      <w:pPr>
        <w:rPr>
          <w:rFonts w:eastAsia="Times New Roman"/>
        </w:rPr>
      </w:pPr>
      <w:r w:rsidRPr="008524D7">
        <w:rPr>
          <w:rStyle w:val="FootnoteReference"/>
        </w:rPr>
        <w:footnoteRef/>
      </w:r>
      <w:r w:rsidRPr="008524D7">
        <w:t xml:space="preserve"> </w:t>
      </w:r>
      <w:r w:rsidRPr="008524D7">
        <w:rPr>
          <w:rFonts w:eastAsia="Times New Roman"/>
          <w:color w:val="000000"/>
          <w:shd w:val="clear" w:color="auto" w:fill="F2F2F2"/>
        </w:rPr>
        <w:t>"Koch Industries Climate Denial Front Group." </w:t>
      </w:r>
      <w:proofErr w:type="gramStart"/>
      <w:r w:rsidRPr="008524D7">
        <w:rPr>
          <w:rFonts w:eastAsia="Times New Roman"/>
          <w:i/>
          <w:iCs/>
          <w:color w:val="000000"/>
          <w:shd w:val="clear" w:color="auto" w:fill="F2F2F2"/>
        </w:rPr>
        <w:t>Greenpeace</w:t>
      </w:r>
      <w:r w:rsidRPr="008524D7">
        <w:rPr>
          <w:rFonts w:eastAsia="Times New Roman"/>
          <w:color w:val="000000"/>
          <w:shd w:val="clear" w:color="auto" w:fill="F2F2F2"/>
        </w:rPr>
        <w:t>.</w:t>
      </w:r>
      <w:proofErr w:type="gramEnd"/>
      <w:r w:rsidRPr="008524D7">
        <w:rPr>
          <w:rFonts w:eastAsia="Times New Roman"/>
          <w:color w:val="000000"/>
          <w:shd w:val="clear" w:color="auto" w:fill="F2F2F2"/>
        </w:rPr>
        <w:t xml:space="preserve"> </w:t>
      </w:r>
      <w:proofErr w:type="spellStart"/>
      <w:proofErr w:type="gramStart"/>
      <w:r w:rsidRPr="008524D7">
        <w:rPr>
          <w:rFonts w:eastAsia="Times New Roman"/>
          <w:color w:val="000000"/>
          <w:shd w:val="clear" w:color="auto" w:fill="F2F2F2"/>
        </w:rPr>
        <w:t>N.p</w:t>
      </w:r>
      <w:proofErr w:type="spellEnd"/>
      <w:proofErr w:type="gramEnd"/>
      <w:r w:rsidRPr="008524D7">
        <w:rPr>
          <w:rFonts w:eastAsia="Times New Roman"/>
          <w:color w:val="000000"/>
          <w:shd w:val="clear" w:color="auto" w:fill="F2F2F2"/>
        </w:rPr>
        <w:t xml:space="preserve">., </w:t>
      </w:r>
      <w:proofErr w:type="spellStart"/>
      <w:r w:rsidRPr="008524D7">
        <w:rPr>
          <w:rFonts w:eastAsia="Times New Roman"/>
          <w:color w:val="000000"/>
          <w:shd w:val="clear" w:color="auto" w:fill="F2F2F2"/>
        </w:rPr>
        <w:t>n.d.</w:t>
      </w:r>
      <w:proofErr w:type="spellEnd"/>
      <w:r w:rsidRPr="008524D7">
        <w:rPr>
          <w:rFonts w:eastAsia="Times New Roman"/>
          <w:color w:val="000000"/>
          <w:shd w:val="clear" w:color="auto" w:fill="F2F2F2"/>
        </w:rPr>
        <w:t xml:space="preserve"> Web. 19 Nov. 2014.</w:t>
      </w:r>
    </w:p>
  </w:footnote>
  <w:footnote w:id="10">
    <w:p w:rsidR="002D3238" w:rsidRPr="008524D7" w:rsidRDefault="002D3238" w:rsidP="008524D7">
      <w:pPr>
        <w:rPr>
          <w:rFonts w:ascii="Times" w:eastAsia="Times New Roman" w:hAnsi="Times"/>
          <w:sz w:val="20"/>
          <w:szCs w:val="20"/>
        </w:rPr>
      </w:pPr>
      <w:r w:rsidRPr="008524D7">
        <w:rPr>
          <w:rStyle w:val="FootnoteReference"/>
        </w:rPr>
        <w:footnoteRef/>
      </w:r>
      <w:r w:rsidRPr="008524D7">
        <w:t xml:space="preserve"> </w:t>
      </w:r>
      <w:r w:rsidRPr="008524D7">
        <w:rPr>
          <w:rFonts w:eastAsia="Times New Roman"/>
          <w:color w:val="000000"/>
          <w:shd w:val="clear" w:color="auto" w:fill="F2F2F2"/>
        </w:rPr>
        <w:t>"ALEC Exposed: The Koch Connection." </w:t>
      </w:r>
      <w:proofErr w:type="gramStart"/>
      <w:r w:rsidRPr="008524D7">
        <w:rPr>
          <w:rFonts w:eastAsia="Times New Roman"/>
          <w:i/>
          <w:iCs/>
          <w:color w:val="000000"/>
          <w:shd w:val="clear" w:color="auto" w:fill="F2F2F2"/>
        </w:rPr>
        <w:t>The Nation</w:t>
      </w:r>
      <w:r w:rsidRPr="008524D7">
        <w:rPr>
          <w:rFonts w:eastAsia="Times New Roman"/>
          <w:color w:val="000000"/>
          <w:shd w:val="clear" w:color="auto" w:fill="F2F2F2"/>
        </w:rPr>
        <w:t>.</w:t>
      </w:r>
      <w:proofErr w:type="gramEnd"/>
      <w:r w:rsidRPr="008524D7">
        <w:rPr>
          <w:rFonts w:eastAsia="Times New Roman"/>
          <w:color w:val="000000"/>
          <w:shd w:val="clear" w:color="auto" w:fill="F2F2F2"/>
        </w:rPr>
        <w:t xml:space="preserve"> </w:t>
      </w:r>
      <w:proofErr w:type="spellStart"/>
      <w:proofErr w:type="gramStart"/>
      <w:r w:rsidRPr="008524D7">
        <w:rPr>
          <w:rFonts w:eastAsia="Times New Roman"/>
          <w:color w:val="000000"/>
          <w:shd w:val="clear" w:color="auto" w:fill="F2F2F2"/>
        </w:rPr>
        <w:t>N.p</w:t>
      </w:r>
      <w:proofErr w:type="spellEnd"/>
      <w:proofErr w:type="gramEnd"/>
      <w:r w:rsidRPr="008524D7">
        <w:rPr>
          <w:rFonts w:eastAsia="Times New Roman"/>
          <w:color w:val="000000"/>
          <w:shd w:val="clear" w:color="auto" w:fill="F2F2F2"/>
        </w:rPr>
        <w:t xml:space="preserve">., </w:t>
      </w:r>
      <w:proofErr w:type="spellStart"/>
      <w:r w:rsidRPr="008524D7">
        <w:rPr>
          <w:rFonts w:eastAsia="Times New Roman"/>
          <w:color w:val="000000"/>
          <w:shd w:val="clear" w:color="auto" w:fill="F2F2F2"/>
        </w:rPr>
        <w:t>n.d.</w:t>
      </w:r>
      <w:proofErr w:type="spellEnd"/>
      <w:r w:rsidRPr="008524D7">
        <w:rPr>
          <w:rFonts w:eastAsia="Times New Roman"/>
          <w:color w:val="000000"/>
          <w:shd w:val="clear" w:color="auto" w:fill="F2F2F2"/>
        </w:rPr>
        <w:t xml:space="preserve"> Web. 19 Nov. 2014.</w:t>
      </w:r>
    </w:p>
  </w:footnote>
  <w:footnote w:id="11">
    <w:p w:rsidR="002D3238" w:rsidRPr="004A51A7" w:rsidRDefault="002D3238" w:rsidP="00912EC2">
      <w:r w:rsidRPr="004A51A7">
        <w:rPr>
          <w:rStyle w:val="FootnoteReference"/>
        </w:rPr>
        <w:footnoteRef/>
      </w:r>
      <w:r w:rsidRPr="004A51A7">
        <w:t xml:space="preserve"> </w:t>
      </w:r>
      <w:r w:rsidRPr="004A51A7">
        <w:rPr>
          <w:shd w:val="clear" w:color="auto" w:fill="F2F2F2"/>
        </w:rPr>
        <w:t xml:space="preserve">Fischer, Brendan. "Why Did </w:t>
      </w:r>
      <w:proofErr w:type="spellStart"/>
      <w:r w:rsidRPr="004A51A7">
        <w:rPr>
          <w:shd w:val="clear" w:color="auto" w:fill="F2F2F2"/>
        </w:rPr>
        <w:t>PhRMA</w:t>
      </w:r>
      <w:proofErr w:type="spellEnd"/>
      <w:r w:rsidRPr="004A51A7">
        <w:rPr>
          <w:shd w:val="clear" w:color="auto" w:fill="F2F2F2"/>
        </w:rPr>
        <w:t xml:space="preserve"> Spend $356K on ALEC in </w:t>
      </w:r>
      <w:proofErr w:type="spellStart"/>
      <w:r w:rsidRPr="004A51A7">
        <w:rPr>
          <w:shd w:val="clear" w:color="auto" w:fill="F2F2F2"/>
        </w:rPr>
        <w:t>Wisconsin?"</w:t>
      </w:r>
      <w:r w:rsidRPr="004A51A7">
        <w:rPr>
          <w:i/>
          <w:iCs/>
          <w:shd w:val="clear" w:color="auto" w:fill="F2F2F2"/>
        </w:rPr>
        <w:t>PR</w:t>
      </w:r>
      <w:proofErr w:type="spellEnd"/>
      <w:r w:rsidRPr="004A51A7">
        <w:rPr>
          <w:i/>
          <w:iCs/>
          <w:shd w:val="clear" w:color="auto" w:fill="F2F2F2"/>
        </w:rPr>
        <w:t xml:space="preserve"> Watch</w:t>
      </w:r>
      <w:r w:rsidRPr="004A51A7">
        <w:rPr>
          <w:shd w:val="clear" w:color="auto" w:fill="F2F2F2"/>
        </w:rPr>
        <w:t xml:space="preserve">. </w:t>
      </w:r>
      <w:proofErr w:type="spellStart"/>
      <w:proofErr w:type="gramStart"/>
      <w:r w:rsidRPr="004A51A7">
        <w:rPr>
          <w:shd w:val="clear" w:color="auto" w:fill="F2F2F2"/>
        </w:rPr>
        <w:t>N.p</w:t>
      </w:r>
      <w:proofErr w:type="spellEnd"/>
      <w:proofErr w:type="gramEnd"/>
      <w:r w:rsidRPr="004A51A7">
        <w:rPr>
          <w:shd w:val="clear" w:color="auto" w:fill="F2F2F2"/>
        </w:rPr>
        <w:t xml:space="preserve">., 12 Mar. 2012. </w:t>
      </w:r>
      <w:proofErr w:type="gramStart"/>
      <w:r w:rsidRPr="004A51A7">
        <w:rPr>
          <w:shd w:val="clear" w:color="auto" w:fill="F2F2F2"/>
        </w:rPr>
        <w:t>Web.</w:t>
      </w:r>
      <w:proofErr w:type="gramEnd"/>
      <w:r w:rsidRPr="004A51A7">
        <w:rPr>
          <w:shd w:val="clear" w:color="auto" w:fill="F2F2F2"/>
        </w:rPr>
        <w:t xml:space="preserve"> 20 Nov. 2014.</w:t>
      </w:r>
    </w:p>
  </w:footnote>
  <w:footnote w:id="12">
    <w:p w:rsidR="002D3238" w:rsidRPr="004A51A7" w:rsidRDefault="002D3238">
      <w:pPr>
        <w:pStyle w:val="FootnoteText"/>
      </w:pPr>
      <w:r w:rsidRPr="004A51A7">
        <w:rPr>
          <w:rStyle w:val="FootnoteReference"/>
        </w:rPr>
        <w:footnoteRef/>
      </w:r>
      <w:r w:rsidRPr="004A51A7">
        <w:t xml:space="preserve"> </w:t>
      </w:r>
      <w:proofErr w:type="gramStart"/>
      <w:r w:rsidRPr="004A51A7">
        <w:rPr>
          <w:rFonts w:eastAsia="Times New Roman"/>
          <w:color w:val="000000"/>
          <w:shd w:val="clear" w:color="auto" w:fill="F2F2F2"/>
        </w:rPr>
        <w:t>"Conservative Transparency."</w:t>
      </w:r>
      <w:proofErr w:type="gramEnd"/>
      <w:r w:rsidRPr="004A51A7">
        <w:rPr>
          <w:rFonts w:eastAsia="Times New Roman"/>
          <w:color w:val="000000"/>
          <w:shd w:val="clear" w:color="auto" w:fill="F2F2F2"/>
        </w:rPr>
        <w:t> </w:t>
      </w:r>
    </w:p>
  </w:footnote>
  <w:footnote w:id="13">
    <w:p w:rsidR="002D3238" w:rsidRPr="004A51A7" w:rsidRDefault="002D3238" w:rsidP="004A51A7">
      <w:pPr>
        <w:rPr>
          <w:rFonts w:ascii="Times" w:eastAsia="Times New Roman" w:hAnsi="Times"/>
          <w:sz w:val="20"/>
          <w:szCs w:val="20"/>
        </w:rPr>
      </w:pPr>
      <w:r w:rsidRPr="004A51A7">
        <w:rPr>
          <w:rStyle w:val="FootnoteReference"/>
        </w:rPr>
        <w:footnoteRef/>
      </w:r>
      <w:r w:rsidRPr="004A51A7">
        <w:t xml:space="preserve"> </w:t>
      </w:r>
      <w:proofErr w:type="gramStart"/>
      <w:r w:rsidRPr="004A51A7">
        <w:rPr>
          <w:rFonts w:eastAsia="Times New Roman"/>
          <w:color w:val="000000"/>
          <w:shd w:val="clear" w:color="auto" w:fill="F2F2F2"/>
        </w:rPr>
        <w:t>"Lobby."</w:t>
      </w:r>
      <w:proofErr w:type="gramEnd"/>
      <w:r w:rsidRPr="004A51A7">
        <w:rPr>
          <w:rFonts w:eastAsia="Times New Roman"/>
          <w:color w:val="000000"/>
          <w:shd w:val="clear" w:color="auto" w:fill="F2F2F2"/>
        </w:rPr>
        <w:t> </w:t>
      </w:r>
      <w:proofErr w:type="gramStart"/>
      <w:r w:rsidRPr="004A51A7">
        <w:rPr>
          <w:rFonts w:eastAsia="Times New Roman"/>
          <w:i/>
          <w:iCs/>
          <w:color w:val="000000"/>
          <w:shd w:val="clear" w:color="auto" w:fill="F2F2F2"/>
        </w:rPr>
        <w:t>Merriam-Webster</w:t>
      </w:r>
      <w:r w:rsidRPr="004A51A7">
        <w:rPr>
          <w:rFonts w:eastAsia="Times New Roman"/>
          <w:color w:val="000000"/>
          <w:shd w:val="clear" w:color="auto" w:fill="F2F2F2"/>
        </w:rPr>
        <w:t>.</w:t>
      </w:r>
      <w:proofErr w:type="gramEnd"/>
      <w:r w:rsidRPr="004A51A7">
        <w:rPr>
          <w:rFonts w:eastAsia="Times New Roman"/>
          <w:color w:val="000000"/>
          <w:shd w:val="clear" w:color="auto" w:fill="F2F2F2"/>
        </w:rPr>
        <w:t xml:space="preserve"> </w:t>
      </w:r>
      <w:proofErr w:type="gramStart"/>
      <w:r w:rsidRPr="004A51A7">
        <w:rPr>
          <w:rFonts w:eastAsia="Times New Roman"/>
          <w:color w:val="000000"/>
          <w:shd w:val="clear" w:color="auto" w:fill="F2F2F2"/>
        </w:rPr>
        <w:t xml:space="preserve">Merriam-Webster, </w:t>
      </w:r>
      <w:proofErr w:type="spellStart"/>
      <w:r w:rsidRPr="004A51A7">
        <w:rPr>
          <w:rFonts w:eastAsia="Times New Roman"/>
          <w:color w:val="000000"/>
          <w:shd w:val="clear" w:color="auto" w:fill="F2F2F2"/>
        </w:rPr>
        <w:t>n.d.</w:t>
      </w:r>
      <w:proofErr w:type="spellEnd"/>
      <w:r w:rsidRPr="004A51A7">
        <w:rPr>
          <w:rFonts w:eastAsia="Times New Roman"/>
          <w:color w:val="000000"/>
          <w:shd w:val="clear" w:color="auto" w:fill="F2F2F2"/>
        </w:rPr>
        <w:t xml:space="preserve"> Web.</w:t>
      </w:r>
      <w:proofErr w:type="gramEnd"/>
      <w:r w:rsidRPr="004A51A7">
        <w:rPr>
          <w:rFonts w:eastAsia="Times New Roman"/>
          <w:color w:val="000000"/>
          <w:shd w:val="clear" w:color="auto" w:fill="F2F2F2"/>
        </w:rPr>
        <w:t xml:space="preserve"> 21 Nov. 2014.</w:t>
      </w:r>
    </w:p>
  </w:footnote>
  <w:footnote w:id="14">
    <w:p w:rsidR="002D3238" w:rsidRDefault="002D3238" w:rsidP="00912EC2">
      <w:r w:rsidRPr="00912EC2">
        <w:rPr>
          <w:rStyle w:val="FootnoteReference"/>
        </w:rPr>
        <w:footnoteRef/>
      </w:r>
      <w:r w:rsidRPr="00912EC2">
        <w:t xml:space="preserve"> Greeley</w:t>
      </w:r>
    </w:p>
  </w:footnote>
  <w:footnote w:id="15">
    <w:p w:rsidR="002D3238" w:rsidRDefault="002D3238">
      <w:pPr>
        <w:pStyle w:val="FootnoteText"/>
      </w:pPr>
      <w:r>
        <w:rPr>
          <w:rStyle w:val="FootnoteReference"/>
        </w:rPr>
        <w:footnoteRef/>
      </w:r>
      <w:r>
        <w:t xml:space="preserve"> </w:t>
      </w:r>
      <w:r w:rsidRPr="00420036">
        <w:rPr>
          <w:rFonts w:eastAsia="Times New Roman"/>
          <w:color w:val="000000"/>
          <w:shd w:val="clear" w:color="auto" w:fill="F2F2F2"/>
        </w:rPr>
        <w:t>"What Is ALEC?" </w:t>
      </w:r>
    </w:p>
  </w:footnote>
  <w:footnote w:id="16">
    <w:p w:rsidR="002D3238" w:rsidRDefault="002D3238" w:rsidP="00054A72">
      <w:pPr>
        <w:pStyle w:val="FootnoteText"/>
      </w:pPr>
      <w:r>
        <w:rPr>
          <w:rStyle w:val="FootnoteReference"/>
        </w:rPr>
        <w:footnoteRef/>
      </w:r>
      <w:r>
        <w:t xml:space="preserve"> </w:t>
      </w:r>
      <w:proofErr w:type="gramStart"/>
      <w:r w:rsidRPr="008524D7">
        <w:rPr>
          <w:rFonts w:eastAsia="Times New Roman"/>
          <w:color w:val="000000"/>
          <w:shd w:val="clear" w:color="auto" w:fill="F2F2F2"/>
        </w:rPr>
        <w:t>"Conservative Transparency."</w:t>
      </w:r>
      <w:proofErr w:type="gramEnd"/>
      <w:r w:rsidRPr="008524D7">
        <w:rPr>
          <w:rFonts w:eastAsia="Times New Roman"/>
          <w:color w:val="000000"/>
          <w:shd w:val="clear" w:color="auto" w:fill="F2F2F2"/>
        </w:rPr>
        <w:t> </w:t>
      </w:r>
    </w:p>
  </w:footnote>
  <w:footnote w:id="17">
    <w:p w:rsidR="002D3238" w:rsidRDefault="002D3238">
      <w:pPr>
        <w:pStyle w:val="FootnoteText"/>
      </w:pPr>
      <w:r>
        <w:rPr>
          <w:rStyle w:val="FootnoteReference"/>
        </w:rPr>
        <w:footnoteRef/>
      </w:r>
      <w:r>
        <w:t xml:space="preserve"> Greeley</w:t>
      </w:r>
    </w:p>
  </w:footnote>
  <w:footnote w:id="18">
    <w:p w:rsidR="002D3238" w:rsidRDefault="002D3238">
      <w:pPr>
        <w:pStyle w:val="FootnoteText"/>
      </w:pPr>
      <w:r>
        <w:rPr>
          <w:rStyle w:val="FootnoteReference"/>
        </w:rPr>
        <w:footnoteRef/>
      </w:r>
      <w:r>
        <w:t xml:space="preserve"> Greeley</w:t>
      </w:r>
    </w:p>
  </w:footnote>
  <w:footnote w:id="19">
    <w:p w:rsidR="002D3238" w:rsidRDefault="002D3238">
      <w:pPr>
        <w:pStyle w:val="FootnoteText"/>
      </w:pPr>
      <w:r>
        <w:rPr>
          <w:rStyle w:val="FootnoteReference"/>
        </w:rPr>
        <w:footnoteRef/>
      </w:r>
      <w:r>
        <w:t xml:space="preserve"> </w:t>
      </w:r>
      <w:proofErr w:type="gramStart"/>
      <w:r w:rsidRPr="008524D7">
        <w:rPr>
          <w:rFonts w:eastAsia="Times New Roman"/>
          <w:color w:val="000000"/>
          <w:shd w:val="clear" w:color="auto" w:fill="F2F2F2"/>
        </w:rPr>
        <w:t>"Conservative Transparency."</w:t>
      </w:r>
      <w:proofErr w:type="gramEnd"/>
      <w:r w:rsidRPr="008524D7">
        <w:rPr>
          <w:rFonts w:eastAsia="Times New Roman"/>
          <w:color w:val="000000"/>
          <w:shd w:val="clear" w:color="auto" w:fill="F2F2F2"/>
        </w:rPr>
        <w:t> </w:t>
      </w:r>
    </w:p>
  </w:footnote>
  <w:footnote w:id="20">
    <w:p w:rsidR="002D3238" w:rsidRDefault="002D3238">
      <w:pPr>
        <w:pStyle w:val="FootnoteText"/>
      </w:pPr>
      <w:r>
        <w:rPr>
          <w:rStyle w:val="FootnoteReference"/>
        </w:rPr>
        <w:footnoteRef/>
      </w:r>
      <w:r>
        <w:t xml:space="preserve"> </w:t>
      </w:r>
      <w:proofErr w:type="gramStart"/>
      <w:r w:rsidRPr="008524D7">
        <w:rPr>
          <w:rFonts w:eastAsia="Times New Roman"/>
          <w:color w:val="000000"/>
          <w:shd w:val="clear" w:color="auto" w:fill="F2F2F2"/>
        </w:rPr>
        <w:t>"Conservative Transparency."</w:t>
      </w:r>
      <w:proofErr w:type="gramEnd"/>
      <w:r w:rsidRPr="008524D7">
        <w:rPr>
          <w:rFonts w:eastAsia="Times New Roman"/>
          <w:color w:val="000000"/>
          <w:shd w:val="clear" w:color="auto" w:fill="F2F2F2"/>
        </w:rPr>
        <w:t>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90888"/>
    <w:rsid w:val="00001830"/>
    <w:rsid w:val="0003536A"/>
    <w:rsid w:val="00054A72"/>
    <w:rsid w:val="00054D42"/>
    <w:rsid w:val="00056FF0"/>
    <w:rsid w:val="00077298"/>
    <w:rsid w:val="00077CD4"/>
    <w:rsid w:val="0008136A"/>
    <w:rsid w:val="00090888"/>
    <w:rsid w:val="000A6FF4"/>
    <w:rsid w:val="000B4CC6"/>
    <w:rsid w:val="000C3337"/>
    <w:rsid w:val="000D76A1"/>
    <w:rsid w:val="00125425"/>
    <w:rsid w:val="00186413"/>
    <w:rsid w:val="001B4994"/>
    <w:rsid w:val="001C0F60"/>
    <w:rsid w:val="001C7304"/>
    <w:rsid w:val="001E2AB4"/>
    <w:rsid w:val="001F3AE9"/>
    <w:rsid w:val="00206D92"/>
    <w:rsid w:val="00213FBA"/>
    <w:rsid w:val="00220B0A"/>
    <w:rsid w:val="00247DC0"/>
    <w:rsid w:val="002852FB"/>
    <w:rsid w:val="002D3238"/>
    <w:rsid w:val="00362AB9"/>
    <w:rsid w:val="00380AEC"/>
    <w:rsid w:val="003C692F"/>
    <w:rsid w:val="003D4533"/>
    <w:rsid w:val="003D66BD"/>
    <w:rsid w:val="003E0802"/>
    <w:rsid w:val="003E3330"/>
    <w:rsid w:val="003E73D8"/>
    <w:rsid w:val="003F35F0"/>
    <w:rsid w:val="00402775"/>
    <w:rsid w:val="00407E11"/>
    <w:rsid w:val="00420036"/>
    <w:rsid w:val="0046178A"/>
    <w:rsid w:val="00467E37"/>
    <w:rsid w:val="0047799B"/>
    <w:rsid w:val="004A030B"/>
    <w:rsid w:val="004A51A7"/>
    <w:rsid w:val="00515C24"/>
    <w:rsid w:val="00521AE0"/>
    <w:rsid w:val="00537E1C"/>
    <w:rsid w:val="00555354"/>
    <w:rsid w:val="005A1857"/>
    <w:rsid w:val="005C01D6"/>
    <w:rsid w:val="005C16A9"/>
    <w:rsid w:val="005F4A2C"/>
    <w:rsid w:val="00610F1E"/>
    <w:rsid w:val="00655D9D"/>
    <w:rsid w:val="00660F0A"/>
    <w:rsid w:val="00671542"/>
    <w:rsid w:val="00697E53"/>
    <w:rsid w:val="006B7EAD"/>
    <w:rsid w:val="00702CE2"/>
    <w:rsid w:val="00732EBB"/>
    <w:rsid w:val="007A210C"/>
    <w:rsid w:val="007B556E"/>
    <w:rsid w:val="007C4E1E"/>
    <w:rsid w:val="007D0C5A"/>
    <w:rsid w:val="007F02D1"/>
    <w:rsid w:val="00810714"/>
    <w:rsid w:val="00835D55"/>
    <w:rsid w:val="00845B6B"/>
    <w:rsid w:val="008524D7"/>
    <w:rsid w:val="00867D24"/>
    <w:rsid w:val="00875EDC"/>
    <w:rsid w:val="008A1A81"/>
    <w:rsid w:val="008C3377"/>
    <w:rsid w:val="008E4003"/>
    <w:rsid w:val="00912EC2"/>
    <w:rsid w:val="00961056"/>
    <w:rsid w:val="00975029"/>
    <w:rsid w:val="009765FC"/>
    <w:rsid w:val="009C2E4B"/>
    <w:rsid w:val="009F5462"/>
    <w:rsid w:val="00A10312"/>
    <w:rsid w:val="00A11493"/>
    <w:rsid w:val="00A143E3"/>
    <w:rsid w:val="00A30B25"/>
    <w:rsid w:val="00A34DE9"/>
    <w:rsid w:val="00A93BED"/>
    <w:rsid w:val="00AC5ED7"/>
    <w:rsid w:val="00AD2B39"/>
    <w:rsid w:val="00AD72E4"/>
    <w:rsid w:val="00B0493C"/>
    <w:rsid w:val="00B158D2"/>
    <w:rsid w:val="00B17458"/>
    <w:rsid w:val="00B26A64"/>
    <w:rsid w:val="00B528C4"/>
    <w:rsid w:val="00B52903"/>
    <w:rsid w:val="00B70452"/>
    <w:rsid w:val="00B9706B"/>
    <w:rsid w:val="00BB669A"/>
    <w:rsid w:val="00BF71FA"/>
    <w:rsid w:val="00C21BD0"/>
    <w:rsid w:val="00C57731"/>
    <w:rsid w:val="00C844E5"/>
    <w:rsid w:val="00C92CA6"/>
    <w:rsid w:val="00CA112E"/>
    <w:rsid w:val="00CA1340"/>
    <w:rsid w:val="00CB30D0"/>
    <w:rsid w:val="00CB7263"/>
    <w:rsid w:val="00CE7726"/>
    <w:rsid w:val="00D13095"/>
    <w:rsid w:val="00D54431"/>
    <w:rsid w:val="00DB677C"/>
    <w:rsid w:val="00DD1251"/>
    <w:rsid w:val="00DF0156"/>
    <w:rsid w:val="00E273CF"/>
    <w:rsid w:val="00E51442"/>
    <w:rsid w:val="00E837A8"/>
    <w:rsid w:val="00E84103"/>
    <w:rsid w:val="00E851AC"/>
    <w:rsid w:val="00E95061"/>
    <w:rsid w:val="00E95B86"/>
    <w:rsid w:val="00EC4F61"/>
    <w:rsid w:val="00ED73BD"/>
    <w:rsid w:val="00F06BF5"/>
    <w:rsid w:val="00F56379"/>
    <w:rsid w:val="00F74A1A"/>
    <w:rsid w:val="00F9710B"/>
    <w:rsid w:val="00FC0B32"/>
    <w:rsid w:val="00FC2D9C"/>
    <w:rsid w:val="00F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773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1BD0"/>
  </w:style>
  <w:style w:type="character" w:customStyle="1" w:styleId="FootnoteTextChar">
    <w:name w:val="Footnote Text Char"/>
    <w:basedOn w:val="DefaultParagraphFont"/>
    <w:link w:val="FootnoteText"/>
    <w:uiPriority w:val="99"/>
    <w:rsid w:val="00C21BD0"/>
    <w:rPr>
      <w:sz w:val="24"/>
      <w:szCs w:val="24"/>
      <w:lang w:eastAsia="en-US"/>
    </w:rPr>
  </w:style>
  <w:style w:type="character" w:styleId="FootnoteReference">
    <w:name w:val="footnote reference"/>
    <w:basedOn w:val="DefaultParagraphFont"/>
    <w:uiPriority w:val="99"/>
    <w:unhideWhenUsed/>
    <w:rsid w:val="00C21BD0"/>
    <w:rPr>
      <w:vertAlign w:val="superscript"/>
    </w:rPr>
  </w:style>
  <w:style w:type="character" w:customStyle="1" w:styleId="apple-converted-space">
    <w:name w:val="apple-converted-space"/>
    <w:basedOn w:val="DefaultParagraphFont"/>
    <w:rsid w:val="00C21BD0"/>
  </w:style>
  <w:style w:type="paragraph" w:styleId="BalloonText">
    <w:name w:val="Balloon Text"/>
    <w:basedOn w:val="Normal"/>
    <w:link w:val="BalloonTextChar"/>
    <w:uiPriority w:val="99"/>
    <w:semiHidden/>
    <w:unhideWhenUsed/>
    <w:rsid w:val="00CA1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340"/>
    <w:rPr>
      <w:rFonts w:ascii="Lucida Grande" w:hAnsi="Lucida Grande" w:cs="Lucida Grande"/>
      <w:sz w:val="18"/>
      <w:szCs w:val="18"/>
      <w:lang w:eastAsia="en-US"/>
    </w:rPr>
  </w:style>
  <w:style w:type="paragraph" w:styleId="Footer">
    <w:name w:val="footer"/>
    <w:basedOn w:val="Normal"/>
    <w:link w:val="FooterChar"/>
    <w:uiPriority w:val="99"/>
    <w:unhideWhenUsed/>
    <w:rsid w:val="00B158D2"/>
    <w:pPr>
      <w:tabs>
        <w:tab w:val="center" w:pos="4320"/>
        <w:tab w:val="right" w:pos="8640"/>
      </w:tabs>
    </w:pPr>
  </w:style>
  <w:style w:type="character" w:customStyle="1" w:styleId="FooterChar">
    <w:name w:val="Footer Char"/>
    <w:basedOn w:val="DefaultParagraphFont"/>
    <w:link w:val="Footer"/>
    <w:uiPriority w:val="99"/>
    <w:rsid w:val="00B158D2"/>
    <w:rPr>
      <w:sz w:val="24"/>
      <w:szCs w:val="24"/>
      <w:lang w:eastAsia="en-US"/>
    </w:rPr>
  </w:style>
  <w:style w:type="character" w:styleId="PageNumber">
    <w:name w:val="page number"/>
    <w:basedOn w:val="DefaultParagraphFont"/>
    <w:uiPriority w:val="99"/>
    <w:semiHidden/>
    <w:unhideWhenUsed/>
    <w:rsid w:val="00B158D2"/>
  </w:style>
  <w:style w:type="character" w:styleId="Hyperlink">
    <w:name w:val="Hyperlink"/>
    <w:basedOn w:val="DefaultParagraphFont"/>
    <w:uiPriority w:val="99"/>
    <w:unhideWhenUsed/>
    <w:rsid w:val="00CB30D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C21BD0"/>
  </w:style>
  <w:style w:type="character" w:customStyle="1" w:styleId="FootnoteTextChar">
    <w:name w:val="Footnote Text Char"/>
    <w:basedOn w:val="DefaultParagraphFont"/>
    <w:link w:val="FootnoteText"/>
    <w:uiPriority w:val="99"/>
    <w:rsid w:val="00C21BD0"/>
    <w:rPr>
      <w:sz w:val="24"/>
      <w:szCs w:val="24"/>
      <w:lang w:eastAsia="en-US"/>
    </w:rPr>
  </w:style>
  <w:style w:type="character" w:styleId="FootnoteReference">
    <w:name w:val="footnote reference"/>
    <w:basedOn w:val="DefaultParagraphFont"/>
    <w:uiPriority w:val="99"/>
    <w:unhideWhenUsed/>
    <w:rsid w:val="00C21BD0"/>
    <w:rPr>
      <w:vertAlign w:val="superscript"/>
    </w:rPr>
  </w:style>
  <w:style w:type="character" w:customStyle="1" w:styleId="apple-converted-space">
    <w:name w:val="apple-converted-space"/>
    <w:basedOn w:val="DefaultParagraphFont"/>
    <w:rsid w:val="00C21BD0"/>
  </w:style>
  <w:style w:type="paragraph" w:styleId="BalloonText">
    <w:name w:val="Balloon Text"/>
    <w:basedOn w:val="Normal"/>
    <w:link w:val="BalloonTextChar"/>
    <w:uiPriority w:val="99"/>
    <w:semiHidden/>
    <w:unhideWhenUsed/>
    <w:rsid w:val="00CA134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1340"/>
    <w:rPr>
      <w:rFonts w:ascii="Lucida Grande" w:hAnsi="Lucida Grande" w:cs="Lucida Grande"/>
      <w:sz w:val="18"/>
      <w:szCs w:val="18"/>
      <w:lang w:eastAsia="en-US"/>
    </w:rPr>
  </w:style>
  <w:style w:type="paragraph" w:styleId="Footer">
    <w:name w:val="footer"/>
    <w:basedOn w:val="Normal"/>
    <w:link w:val="FooterChar"/>
    <w:uiPriority w:val="99"/>
    <w:unhideWhenUsed/>
    <w:rsid w:val="00B158D2"/>
    <w:pPr>
      <w:tabs>
        <w:tab w:val="center" w:pos="4320"/>
        <w:tab w:val="right" w:pos="8640"/>
      </w:tabs>
    </w:pPr>
  </w:style>
  <w:style w:type="character" w:customStyle="1" w:styleId="FooterChar">
    <w:name w:val="Footer Char"/>
    <w:basedOn w:val="DefaultParagraphFont"/>
    <w:link w:val="Footer"/>
    <w:uiPriority w:val="99"/>
    <w:rsid w:val="00B158D2"/>
    <w:rPr>
      <w:sz w:val="24"/>
      <w:szCs w:val="24"/>
      <w:lang w:eastAsia="en-US"/>
    </w:rPr>
  </w:style>
  <w:style w:type="character" w:styleId="PageNumber">
    <w:name w:val="page number"/>
    <w:basedOn w:val="DefaultParagraphFont"/>
    <w:uiPriority w:val="99"/>
    <w:semiHidden/>
    <w:unhideWhenUsed/>
    <w:rsid w:val="00B15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10123">
      <w:bodyDiv w:val="1"/>
      <w:marLeft w:val="0"/>
      <w:marRight w:val="0"/>
      <w:marTop w:val="0"/>
      <w:marBottom w:val="0"/>
      <w:divBdr>
        <w:top w:val="none" w:sz="0" w:space="0" w:color="auto"/>
        <w:left w:val="none" w:sz="0" w:space="0" w:color="auto"/>
        <w:bottom w:val="none" w:sz="0" w:space="0" w:color="auto"/>
        <w:right w:val="none" w:sz="0" w:space="0" w:color="auto"/>
      </w:divBdr>
    </w:div>
    <w:div w:id="253905103">
      <w:bodyDiv w:val="1"/>
      <w:marLeft w:val="0"/>
      <w:marRight w:val="0"/>
      <w:marTop w:val="0"/>
      <w:marBottom w:val="0"/>
      <w:divBdr>
        <w:top w:val="none" w:sz="0" w:space="0" w:color="auto"/>
        <w:left w:val="none" w:sz="0" w:space="0" w:color="auto"/>
        <w:bottom w:val="none" w:sz="0" w:space="0" w:color="auto"/>
        <w:right w:val="none" w:sz="0" w:space="0" w:color="auto"/>
      </w:divBdr>
    </w:div>
    <w:div w:id="423186476">
      <w:bodyDiv w:val="1"/>
      <w:marLeft w:val="0"/>
      <w:marRight w:val="0"/>
      <w:marTop w:val="0"/>
      <w:marBottom w:val="0"/>
      <w:divBdr>
        <w:top w:val="none" w:sz="0" w:space="0" w:color="auto"/>
        <w:left w:val="none" w:sz="0" w:space="0" w:color="auto"/>
        <w:bottom w:val="none" w:sz="0" w:space="0" w:color="auto"/>
        <w:right w:val="none" w:sz="0" w:space="0" w:color="auto"/>
      </w:divBdr>
    </w:div>
    <w:div w:id="501816384">
      <w:bodyDiv w:val="1"/>
      <w:marLeft w:val="0"/>
      <w:marRight w:val="0"/>
      <w:marTop w:val="0"/>
      <w:marBottom w:val="0"/>
      <w:divBdr>
        <w:top w:val="none" w:sz="0" w:space="0" w:color="auto"/>
        <w:left w:val="none" w:sz="0" w:space="0" w:color="auto"/>
        <w:bottom w:val="none" w:sz="0" w:space="0" w:color="auto"/>
        <w:right w:val="none" w:sz="0" w:space="0" w:color="auto"/>
      </w:divBdr>
    </w:div>
    <w:div w:id="586158356">
      <w:bodyDiv w:val="1"/>
      <w:marLeft w:val="0"/>
      <w:marRight w:val="0"/>
      <w:marTop w:val="0"/>
      <w:marBottom w:val="0"/>
      <w:divBdr>
        <w:top w:val="none" w:sz="0" w:space="0" w:color="auto"/>
        <w:left w:val="none" w:sz="0" w:space="0" w:color="auto"/>
        <w:bottom w:val="none" w:sz="0" w:space="0" w:color="auto"/>
        <w:right w:val="none" w:sz="0" w:space="0" w:color="auto"/>
      </w:divBdr>
    </w:div>
    <w:div w:id="719866194">
      <w:bodyDiv w:val="1"/>
      <w:marLeft w:val="0"/>
      <w:marRight w:val="0"/>
      <w:marTop w:val="0"/>
      <w:marBottom w:val="0"/>
      <w:divBdr>
        <w:top w:val="none" w:sz="0" w:space="0" w:color="auto"/>
        <w:left w:val="none" w:sz="0" w:space="0" w:color="auto"/>
        <w:bottom w:val="none" w:sz="0" w:space="0" w:color="auto"/>
        <w:right w:val="none" w:sz="0" w:space="0" w:color="auto"/>
      </w:divBdr>
    </w:div>
    <w:div w:id="784663794">
      <w:bodyDiv w:val="1"/>
      <w:marLeft w:val="0"/>
      <w:marRight w:val="0"/>
      <w:marTop w:val="0"/>
      <w:marBottom w:val="0"/>
      <w:divBdr>
        <w:top w:val="none" w:sz="0" w:space="0" w:color="auto"/>
        <w:left w:val="none" w:sz="0" w:space="0" w:color="auto"/>
        <w:bottom w:val="none" w:sz="0" w:space="0" w:color="auto"/>
        <w:right w:val="none" w:sz="0" w:space="0" w:color="auto"/>
      </w:divBdr>
    </w:div>
    <w:div w:id="844442938">
      <w:bodyDiv w:val="1"/>
      <w:marLeft w:val="0"/>
      <w:marRight w:val="0"/>
      <w:marTop w:val="0"/>
      <w:marBottom w:val="0"/>
      <w:divBdr>
        <w:top w:val="none" w:sz="0" w:space="0" w:color="auto"/>
        <w:left w:val="none" w:sz="0" w:space="0" w:color="auto"/>
        <w:bottom w:val="none" w:sz="0" w:space="0" w:color="auto"/>
        <w:right w:val="none" w:sz="0" w:space="0" w:color="auto"/>
      </w:divBdr>
    </w:div>
    <w:div w:id="898202792">
      <w:bodyDiv w:val="1"/>
      <w:marLeft w:val="0"/>
      <w:marRight w:val="0"/>
      <w:marTop w:val="0"/>
      <w:marBottom w:val="0"/>
      <w:divBdr>
        <w:top w:val="none" w:sz="0" w:space="0" w:color="auto"/>
        <w:left w:val="none" w:sz="0" w:space="0" w:color="auto"/>
        <w:bottom w:val="none" w:sz="0" w:space="0" w:color="auto"/>
        <w:right w:val="none" w:sz="0" w:space="0" w:color="auto"/>
      </w:divBdr>
    </w:div>
    <w:div w:id="1007561765">
      <w:bodyDiv w:val="1"/>
      <w:marLeft w:val="0"/>
      <w:marRight w:val="0"/>
      <w:marTop w:val="0"/>
      <w:marBottom w:val="0"/>
      <w:divBdr>
        <w:top w:val="none" w:sz="0" w:space="0" w:color="auto"/>
        <w:left w:val="none" w:sz="0" w:space="0" w:color="auto"/>
        <w:bottom w:val="none" w:sz="0" w:space="0" w:color="auto"/>
        <w:right w:val="none" w:sz="0" w:space="0" w:color="auto"/>
      </w:divBdr>
    </w:div>
    <w:div w:id="1179123719">
      <w:bodyDiv w:val="1"/>
      <w:marLeft w:val="0"/>
      <w:marRight w:val="0"/>
      <w:marTop w:val="0"/>
      <w:marBottom w:val="0"/>
      <w:divBdr>
        <w:top w:val="none" w:sz="0" w:space="0" w:color="auto"/>
        <w:left w:val="none" w:sz="0" w:space="0" w:color="auto"/>
        <w:bottom w:val="none" w:sz="0" w:space="0" w:color="auto"/>
        <w:right w:val="none" w:sz="0" w:space="0" w:color="auto"/>
      </w:divBdr>
    </w:div>
    <w:div w:id="1198201891">
      <w:bodyDiv w:val="1"/>
      <w:marLeft w:val="0"/>
      <w:marRight w:val="0"/>
      <w:marTop w:val="0"/>
      <w:marBottom w:val="0"/>
      <w:divBdr>
        <w:top w:val="none" w:sz="0" w:space="0" w:color="auto"/>
        <w:left w:val="none" w:sz="0" w:space="0" w:color="auto"/>
        <w:bottom w:val="none" w:sz="0" w:space="0" w:color="auto"/>
        <w:right w:val="none" w:sz="0" w:space="0" w:color="auto"/>
      </w:divBdr>
    </w:div>
    <w:div w:id="1399093018">
      <w:bodyDiv w:val="1"/>
      <w:marLeft w:val="0"/>
      <w:marRight w:val="0"/>
      <w:marTop w:val="0"/>
      <w:marBottom w:val="0"/>
      <w:divBdr>
        <w:top w:val="none" w:sz="0" w:space="0" w:color="auto"/>
        <w:left w:val="none" w:sz="0" w:space="0" w:color="auto"/>
        <w:bottom w:val="none" w:sz="0" w:space="0" w:color="auto"/>
        <w:right w:val="none" w:sz="0" w:space="0" w:color="auto"/>
      </w:divBdr>
    </w:div>
    <w:div w:id="1404521994">
      <w:bodyDiv w:val="1"/>
      <w:marLeft w:val="0"/>
      <w:marRight w:val="0"/>
      <w:marTop w:val="0"/>
      <w:marBottom w:val="0"/>
      <w:divBdr>
        <w:top w:val="none" w:sz="0" w:space="0" w:color="auto"/>
        <w:left w:val="none" w:sz="0" w:space="0" w:color="auto"/>
        <w:bottom w:val="none" w:sz="0" w:space="0" w:color="auto"/>
        <w:right w:val="none" w:sz="0" w:space="0" w:color="auto"/>
      </w:divBdr>
    </w:div>
    <w:div w:id="1678577726">
      <w:bodyDiv w:val="1"/>
      <w:marLeft w:val="0"/>
      <w:marRight w:val="0"/>
      <w:marTop w:val="0"/>
      <w:marBottom w:val="0"/>
      <w:divBdr>
        <w:top w:val="none" w:sz="0" w:space="0" w:color="auto"/>
        <w:left w:val="none" w:sz="0" w:space="0" w:color="auto"/>
        <w:bottom w:val="none" w:sz="0" w:space="0" w:color="auto"/>
        <w:right w:val="none" w:sz="0" w:space="0" w:color="auto"/>
      </w:divBdr>
    </w:div>
    <w:div w:id="207173450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onservativetransparency.org"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sashapatsel:Documents:SOC%20200%20research%20projec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Macintosh%20HD:Users:sashapatsel:Documents:SOC%20200%20research%20projec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Macintosh%20HD:Users:sashapatsel:Documents:SOC%20200%20research%20project.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Macintosh%20HD:Users:sashapatsel:Documents:SOC%20200%20research%20projec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layout>
        <c:manualLayout>
          <c:xMode val="edge"/>
          <c:yMode val="edge"/>
          <c:x val="0.11111920384951915"/>
          <c:y val="5.0925925925925979E-2"/>
        </c:manualLayout>
      </c:layout>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v>Top Donors to ALEC from 2002 to 2012</c:v>
          </c:tx>
          <c:invertIfNegative val="0"/>
          <c:cat>
            <c:strRef>
              <c:f>Sheet1!$I$2:$I$11</c:f>
              <c:strCache>
                <c:ptCount val="10"/>
                <c:pt idx="0">
                  <c:v>Exxon Mobil</c:v>
                </c:pt>
                <c:pt idx="1">
                  <c:v>PhRMA</c:v>
                </c:pt>
                <c:pt idx="2">
                  <c:v>Searle Freedom Trust</c:v>
                </c:pt>
                <c:pt idx="3">
                  <c:v>Claude R. Lambe Charitable Foundation</c:v>
                </c:pt>
                <c:pt idx="4">
                  <c:v>Allegheny Foundation</c:v>
                </c:pt>
                <c:pt idx="5">
                  <c:v>Castle Rock Foundation</c:v>
                </c:pt>
                <c:pt idx="6">
                  <c:v>Jaquelin Hume Foundation</c:v>
                </c:pt>
                <c:pt idx="7">
                  <c:v>Friedman Foundation For Educational Choice</c:v>
                </c:pt>
                <c:pt idx="8">
                  <c:v>The Lynde and Harry Bradley Foundation</c:v>
                </c:pt>
                <c:pt idx="9">
                  <c:v>Charles G. Koch Charitable Foundation</c:v>
                </c:pt>
              </c:strCache>
            </c:strRef>
          </c:cat>
          <c:val>
            <c:numRef>
              <c:f>Sheet1!$J$2:$J$11</c:f>
              <c:numCache>
                <c:formatCode>"$"#,##0_);[Red]\("$"#,##0\)</c:formatCode>
                <c:ptCount val="10"/>
                <c:pt idx="0">
                  <c:v>1454700</c:v>
                </c:pt>
                <c:pt idx="1">
                  <c:v>993217</c:v>
                </c:pt>
                <c:pt idx="2">
                  <c:v>770000</c:v>
                </c:pt>
                <c:pt idx="3">
                  <c:v>630000</c:v>
                </c:pt>
                <c:pt idx="4">
                  <c:v>495000</c:v>
                </c:pt>
                <c:pt idx="5">
                  <c:v>300000</c:v>
                </c:pt>
                <c:pt idx="6">
                  <c:v>270000</c:v>
                </c:pt>
                <c:pt idx="7">
                  <c:v>248000</c:v>
                </c:pt>
                <c:pt idx="8">
                  <c:v>220000</c:v>
                </c:pt>
                <c:pt idx="9">
                  <c:v>146958</c:v>
                </c:pt>
              </c:numCache>
            </c:numRef>
          </c:val>
        </c:ser>
        <c:dLbls>
          <c:showLegendKey val="0"/>
          <c:showVal val="0"/>
          <c:showCatName val="0"/>
          <c:showSerName val="0"/>
          <c:showPercent val="0"/>
          <c:showBubbleSize val="0"/>
        </c:dLbls>
        <c:gapWidth val="150"/>
        <c:shape val="cylinder"/>
        <c:axId val="120784000"/>
        <c:axId val="120785536"/>
        <c:axId val="0"/>
      </c:bar3DChart>
      <c:catAx>
        <c:axId val="120784000"/>
        <c:scaling>
          <c:orientation val="minMax"/>
        </c:scaling>
        <c:delete val="0"/>
        <c:axPos val="b"/>
        <c:majorTickMark val="out"/>
        <c:minorTickMark val="none"/>
        <c:tickLblPos val="nextTo"/>
        <c:crossAx val="120785536"/>
        <c:crosses val="autoZero"/>
        <c:auto val="1"/>
        <c:lblAlgn val="ctr"/>
        <c:lblOffset val="100"/>
        <c:noMultiLvlLbl val="0"/>
      </c:catAx>
      <c:valAx>
        <c:axId val="120785536"/>
        <c:scaling>
          <c:orientation val="minMax"/>
        </c:scaling>
        <c:delete val="0"/>
        <c:axPos val="l"/>
        <c:majorGridlines/>
        <c:numFmt formatCode="&quot;$&quot;#,##0_);[Red]\(&quot;$&quot;#,##0\)" sourceLinked="1"/>
        <c:majorTickMark val="out"/>
        <c:minorTickMark val="none"/>
        <c:tickLblPos val="nextTo"/>
        <c:crossAx val="12078400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lineChart>
        <c:grouping val="standard"/>
        <c:varyColors val="0"/>
        <c:ser>
          <c:idx val="0"/>
          <c:order val="0"/>
          <c:tx>
            <c:v>ALEC's Annual Income</c:v>
          </c:tx>
          <c:cat>
            <c:numRef>
              <c:f>Sheet1!$C$14:$C$24</c:f>
              <c:numCache>
                <c:formatCode>General</c:formatCode>
                <c:ptCount val="11"/>
                <c:pt idx="0">
                  <c:v>2002</c:v>
                </c:pt>
                <c:pt idx="1">
                  <c:v>2003</c:v>
                </c:pt>
                <c:pt idx="2">
                  <c:v>2004</c:v>
                </c:pt>
                <c:pt idx="3">
                  <c:v>2005</c:v>
                </c:pt>
                <c:pt idx="4">
                  <c:v>2006</c:v>
                </c:pt>
                <c:pt idx="5">
                  <c:v>2007</c:v>
                </c:pt>
                <c:pt idx="6">
                  <c:v>2008</c:v>
                </c:pt>
                <c:pt idx="7">
                  <c:v>2009</c:v>
                </c:pt>
                <c:pt idx="8">
                  <c:v>2010</c:v>
                </c:pt>
                <c:pt idx="9">
                  <c:v>2011</c:v>
                </c:pt>
                <c:pt idx="10">
                  <c:v>2012</c:v>
                </c:pt>
              </c:numCache>
            </c:numRef>
          </c:cat>
          <c:val>
            <c:numRef>
              <c:f>Sheet1!$D$14:$D$24</c:f>
              <c:numCache>
                <c:formatCode>General</c:formatCode>
                <c:ptCount val="11"/>
                <c:pt idx="0">
                  <c:v>4990388</c:v>
                </c:pt>
                <c:pt idx="1">
                  <c:v>5640684</c:v>
                </c:pt>
                <c:pt idx="2">
                  <c:v>5703895</c:v>
                </c:pt>
                <c:pt idx="3">
                  <c:v>6278800</c:v>
                </c:pt>
                <c:pt idx="4">
                  <c:v>7228171</c:v>
                </c:pt>
                <c:pt idx="5">
                  <c:v>7803119</c:v>
                </c:pt>
                <c:pt idx="6">
                  <c:v>6975222.0000000009</c:v>
                </c:pt>
                <c:pt idx="7">
                  <c:v>6271633.0000000009</c:v>
                </c:pt>
                <c:pt idx="8">
                  <c:v>7171357</c:v>
                </c:pt>
                <c:pt idx="9">
                  <c:v>9218068.999999987</c:v>
                </c:pt>
                <c:pt idx="10">
                  <c:v>8425051</c:v>
                </c:pt>
              </c:numCache>
            </c:numRef>
          </c:val>
          <c:smooth val="0"/>
        </c:ser>
        <c:dLbls>
          <c:showLegendKey val="0"/>
          <c:showVal val="0"/>
          <c:showCatName val="0"/>
          <c:showSerName val="0"/>
          <c:showPercent val="0"/>
          <c:showBubbleSize val="0"/>
        </c:dLbls>
        <c:marker val="1"/>
        <c:smooth val="0"/>
        <c:axId val="123771520"/>
        <c:axId val="123777408"/>
      </c:lineChart>
      <c:catAx>
        <c:axId val="123771520"/>
        <c:scaling>
          <c:orientation val="minMax"/>
        </c:scaling>
        <c:delete val="0"/>
        <c:axPos val="b"/>
        <c:numFmt formatCode="General" sourceLinked="1"/>
        <c:majorTickMark val="out"/>
        <c:minorTickMark val="none"/>
        <c:tickLblPos val="nextTo"/>
        <c:crossAx val="123777408"/>
        <c:crosses val="autoZero"/>
        <c:auto val="1"/>
        <c:lblAlgn val="ctr"/>
        <c:lblOffset val="100"/>
        <c:noMultiLvlLbl val="0"/>
      </c:catAx>
      <c:valAx>
        <c:axId val="123777408"/>
        <c:scaling>
          <c:orientation val="minMax"/>
        </c:scaling>
        <c:delete val="0"/>
        <c:axPos val="l"/>
        <c:majorGridlines/>
        <c:numFmt formatCode="General" sourceLinked="1"/>
        <c:majorTickMark val="out"/>
        <c:minorTickMark val="none"/>
        <c:tickLblPos val="nextTo"/>
        <c:crossAx val="123771520"/>
        <c:crosses val="autoZero"/>
        <c:crossBetween val="between"/>
        <c:dispUnits>
          <c:builtInUnit val="millions"/>
          <c:dispUnitsLbl/>
        </c:dispUnits>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tx>
        <c:rich>
          <a:bodyPr/>
          <a:lstStyle/>
          <a:p>
            <a:pPr>
              <a:defRPr/>
            </a:pPr>
            <a:r>
              <a:rPr lang="en-US"/>
              <a:t>$</a:t>
            </a:r>
            <a:r>
              <a:rPr lang="en-US" baseline="0"/>
              <a:t> Donated to SPN</a:t>
            </a:r>
            <a:endParaRPr lang="en-US"/>
          </a:p>
        </c:rich>
      </c:tx>
      <c:overlay val="0"/>
    </c:title>
    <c:autoTitleDeleted val="0"/>
    <c:view3D>
      <c:rotX val="15"/>
      <c:rotY val="20"/>
      <c:rAngAx val="1"/>
    </c:view3D>
    <c:floor>
      <c:thickness val="0"/>
    </c:floor>
    <c:sideWall>
      <c:thickness val="0"/>
    </c:sideWall>
    <c:backWall>
      <c:thickness val="0"/>
    </c:backWall>
    <c:plotArea>
      <c:layout/>
      <c:bar3DChart>
        <c:barDir val="col"/>
        <c:grouping val="stacked"/>
        <c:varyColors val="0"/>
        <c:ser>
          <c:idx val="0"/>
          <c:order val="0"/>
          <c:tx>
            <c:strRef>
              <c:f>Sheet1!$C$33</c:f>
              <c:strCache>
                <c:ptCount val="1"/>
                <c:pt idx="0">
                  <c:v>$ Amount</c:v>
                </c:pt>
              </c:strCache>
            </c:strRef>
          </c:tx>
          <c:invertIfNegative val="0"/>
          <c:cat>
            <c:strRef>
              <c:f>Sheet1!$B$34:$B$45</c:f>
              <c:strCache>
                <c:ptCount val="12"/>
                <c:pt idx="0">
                  <c:v>Donors Capital Fund</c:v>
                </c:pt>
                <c:pt idx="1">
                  <c:v>Searle Freedom Trust</c:v>
                </c:pt>
                <c:pt idx="2">
                  <c:v>The Thirteen Foundation</c:v>
                </c:pt>
                <c:pt idx="3">
                  <c:v>The Roe Foundation</c:v>
                </c:pt>
                <c:pt idx="4">
                  <c:v>DonorsTrust</c:v>
                </c:pt>
                <c:pt idx="5">
                  <c:v>Jaquelin Hume Foundation</c:v>
                </c:pt>
                <c:pt idx="6">
                  <c:v>JM Foundation</c:v>
                </c:pt>
                <c:pt idx="7">
                  <c:v>The Lynde and Harry Bradley Foundation</c:v>
                </c:pt>
                <c:pt idx="8">
                  <c:v>John M. Olin Foundation</c:v>
                </c:pt>
                <c:pt idx="9">
                  <c:v>Barbara and Barre Seid Foundation</c:v>
                </c:pt>
                <c:pt idx="10">
                  <c:v>Castle Rock Foundation</c:v>
                </c:pt>
                <c:pt idx="11">
                  <c:v>Chase Foundation of Virginia</c:v>
                </c:pt>
              </c:strCache>
            </c:strRef>
          </c:cat>
          <c:val>
            <c:numRef>
              <c:f>Sheet1!$C$34:$C$45</c:f>
              <c:numCache>
                <c:formatCode>"$"#,##0_);[Red]\("$"#,##0\)</c:formatCode>
                <c:ptCount val="12"/>
                <c:pt idx="0">
                  <c:v>12312013.999999993</c:v>
                </c:pt>
                <c:pt idx="1">
                  <c:v>2702000</c:v>
                </c:pt>
                <c:pt idx="2">
                  <c:v>1526125</c:v>
                </c:pt>
                <c:pt idx="3">
                  <c:v>1107000</c:v>
                </c:pt>
                <c:pt idx="4">
                  <c:v>1038999.9999999987</c:v>
                </c:pt>
                <c:pt idx="5">
                  <c:v>805000</c:v>
                </c:pt>
                <c:pt idx="6">
                  <c:v>775000</c:v>
                </c:pt>
                <c:pt idx="7">
                  <c:v>180000</c:v>
                </c:pt>
                <c:pt idx="8">
                  <c:v>155000</c:v>
                </c:pt>
                <c:pt idx="9">
                  <c:v>150000</c:v>
                </c:pt>
                <c:pt idx="10">
                  <c:v>135000</c:v>
                </c:pt>
                <c:pt idx="11">
                  <c:v>130860</c:v>
                </c:pt>
              </c:numCache>
            </c:numRef>
          </c:val>
        </c:ser>
        <c:dLbls>
          <c:showLegendKey val="0"/>
          <c:showVal val="0"/>
          <c:showCatName val="0"/>
          <c:showSerName val="0"/>
          <c:showPercent val="0"/>
          <c:showBubbleSize val="0"/>
        </c:dLbls>
        <c:gapWidth val="150"/>
        <c:shape val="cylinder"/>
        <c:axId val="73991296"/>
        <c:axId val="73992832"/>
        <c:axId val="0"/>
      </c:bar3DChart>
      <c:catAx>
        <c:axId val="73991296"/>
        <c:scaling>
          <c:orientation val="minMax"/>
        </c:scaling>
        <c:delete val="0"/>
        <c:axPos val="b"/>
        <c:majorTickMark val="out"/>
        <c:minorTickMark val="none"/>
        <c:tickLblPos val="nextTo"/>
        <c:crossAx val="73992832"/>
        <c:crosses val="autoZero"/>
        <c:auto val="1"/>
        <c:lblAlgn val="ctr"/>
        <c:lblOffset val="100"/>
        <c:noMultiLvlLbl val="0"/>
      </c:catAx>
      <c:valAx>
        <c:axId val="73992832"/>
        <c:scaling>
          <c:orientation val="minMax"/>
        </c:scaling>
        <c:delete val="0"/>
        <c:axPos val="l"/>
        <c:majorGridlines/>
        <c:numFmt formatCode="&quot;$&quot;#,##0_);[Red]\(&quot;$&quot;#,##0\)" sourceLinked="1"/>
        <c:majorTickMark val="out"/>
        <c:minorTickMark val="none"/>
        <c:tickLblPos val="nextTo"/>
        <c:crossAx val="7399129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18"/>
    </mc:Choice>
    <mc:Fallback>
      <c:style val="18"/>
    </mc:Fallback>
  </mc:AlternateContent>
  <c:chart>
    <c:title>
      <c:overlay val="0"/>
    </c:title>
    <c:autoTitleDeleted val="0"/>
    <c:plotArea>
      <c:layout>
        <c:manualLayout>
          <c:layoutTarget val="inner"/>
          <c:xMode val="edge"/>
          <c:yMode val="edge"/>
          <c:x val="0.17798228346456743"/>
          <c:y val="0.2111111111111113"/>
          <c:w val="0.56368438320210001"/>
          <c:h val="0.63202172645086174"/>
        </c:manualLayout>
      </c:layout>
      <c:lineChart>
        <c:grouping val="standard"/>
        <c:varyColors val="0"/>
        <c:ser>
          <c:idx val="1"/>
          <c:order val="0"/>
          <c:tx>
            <c:v>SPN's Revenue by Year</c:v>
          </c:tx>
          <c:cat>
            <c:numRef>
              <c:f>Sheet1!$G$38:$G$49</c:f>
              <c:numCache>
                <c:formatCode>General</c:formatCode>
                <c:ptCount val="12"/>
                <c:pt idx="0">
                  <c:v>2002</c:v>
                </c:pt>
                <c:pt idx="1">
                  <c:v>2003</c:v>
                </c:pt>
                <c:pt idx="2">
                  <c:v>2004</c:v>
                </c:pt>
                <c:pt idx="3">
                  <c:v>2005</c:v>
                </c:pt>
                <c:pt idx="4">
                  <c:v>2006</c:v>
                </c:pt>
                <c:pt idx="5">
                  <c:v>2007</c:v>
                </c:pt>
                <c:pt idx="6">
                  <c:v>2008</c:v>
                </c:pt>
                <c:pt idx="7">
                  <c:v>2009</c:v>
                </c:pt>
                <c:pt idx="8">
                  <c:v>2010</c:v>
                </c:pt>
                <c:pt idx="9">
                  <c:v>2011</c:v>
                </c:pt>
                <c:pt idx="10">
                  <c:v>2012</c:v>
                </c:pt>
                <c:pt idx="11">
                  <c:v>2013</c:v>
                </c:pt>
              </c:numCache>
            </c:numRef>
          </c:cat>
          <c:val>
            <c:numRef>
              <c:f>Sheet1!$H$38:$H$49</c:f>
              <c:numCache>
                <c:formatCode>"$"#,##0_);[Red]\("$"#,##0\)</c:formatCode>
                <c:ptCount val="12"/>
                <c:pt idx="0">
                  <c:v>556497</c:v>
                </c:pt>
                <c:pt idx="1">
                  <c:v>681852</c:v>
                </c:pt>
                <c:pt idx="2">
                  <c:v>681852</c:v>
                </c:pt>
                <c:pt idx="3">
                  <c:v>972162</c:v>
                </c:pt>
                <c:pt idx="4">
                  <c:v>1281303</c:v>
                </c:pt>
                <c:pt idx="5">
                  <c:v>2632137</c:v>
                </c:pt>
                <c:pt idx="6">
                  <c:v>4083058.0000000005</c:v>
                </c:pt>
                <c:pt idx="7">
                  <c:v>4480054</c:v>
                </c:pt>
                <c:pt idx="8">
                  <c:v>4812513</c:v>
                </c:pt>
                <c:pt idx="9">
                  <c:v>5160138</c:v>
                </c:pt>
                <c:pt idx="10">
                  <c:v>8050050.0000000009</c:v>
                </c:pt>
                <c:pt idx="11">
                  <c:v>7543244.0000000009</c:v>
                </c:pt>
              </c:numCache>
            </c:numRef>
          </c:val>
          <c:smooth val="0"/>
        </c:ser>
        <c:dLbls>
          <c:showLegendKey val="0"/>
          <c:showVal val="0"/>
          <c:showCatName val="0"/>
          <c:showSerName val="0"/>
          <c:showPercent val="0"/>
          <c:showBubbleSize val="0"/>
        </c:dLbls>
        <c:marker val="1"/>
        <c:smooth val="0"/>
        <c:axId val="74004736"/>
        <c:axId val="74010624"/>
      </c:lineChart>
      <c:catAx>
        <c:axId val="74004736"/>
        <c:scaling>
          <c:orientation val="minMax"/>
        </c:scaling>
        <c:delete val="0"/>
        <c:axPos val="b"/>
        <c:numFmt formatCode="General" sourceLinked="1"/>
        <c:majorTickMark val="out"/>
        <c:minorTickMark val="none"/>
        <c:tickLblPos val="nextTo"/>
        <c:crossAx val="74010624"/>
        <c:crosses val="autoZero"/>
        <c:auto val="1"/>
        <c:lblAlgn val="ctr"/>
        <c:lblOffset val="100"/>
        <c:noMultiLvlLbl val="0"/>
      </c:catAx>
      <c:valAx>
        <c:axId val="74010624"/>
        <c:scaling>
          <c:orientation val="minMax"/>
        </c:scaling>
        <c:delete val="0"/>
        <c:axPos val="l"/>
        <c:majorGridlines/>
        <c:numFmt formatCode="&quot;$&quot;#,##0_);[Red]\(&quot;$&quot;#,##0\)" sourceLinked="1"/>
        <c:majorTickMark val="out"/>
        <c:minorTickMark val="none"/>
        <c:tickLblPos val="nextTo"/>
        <c:crossAx val="74004736"/>
        <c:crosses val="autoZero"/>
        <c:crossBetween val="between"/>
      </c:valAx>
    </c:plotArea>
    <c:legend>
      <c:legendPos val="r"/>
      <c:layout>
        <c:manualLayout>
          <c:xMode val="edge"/>
          <c:yMode val="edge"/>
          <c:x val="0.76111111111111163"/>
          <c:y val="0.38545603674540774"/>
          <c:w val="0.21388888888888904"/>
          <c:h val="0.33371719160105062"/>
        </c:manualLayout>
      </c:layout>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1462</Words>
  <Characters>8338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Clark University</Company>
  <LinksUpToDate>false</LinksUpToDate>
  <CharactersWithSpaces>9781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 Patsel</dc:creator>
  <cp:lastModifiedBy>Sarah Barry</cp:lastModifiedBy>
  <cp:revision>2</cp:revision>
  <dcterms:created xsi:type="dcterms:W3CDTF">2015-01-28T15:32:00Z</dcterms:created>
  <dcterms:modified xsi:type="dcterms:W3CDTF">2015-01-28T15:32:00Z</dcterms:modified>
</cp:coreProperties>
</file>