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A9" w:rsidRDefault="00320DA9"/>
    <w:p w:rsidR="00320DA9" w:rsidRDefault="00320DA9"/>
    <w:p w:rsidR="00320DA9" w:rsidRDefault="00320DA9" w:rsidP="00320DA9">
      <w:pPr>
        <w:jc w:val="center"/>
        <w:rPr>
          <w:rFonts w:ascii="Times New Roman" w:hAnsi="Times New Roman"/>
          <w:b/>
          <w:sz w:val="36"/>
        </w:rPr>
      </w:pPr>
    </w:p>
    <w:p w:rsidR="00320DA9" w:rsidRDefault="00320DA9" w:rsidP="00320DA9">
      <w:pPr>
        <w:jc w:val="center"/>
        <w:rPr>
          <w:rFonts w:ascii="Times New Roman" w:hAnsi="Times New Roman"/>
          <w:b/>
          <w:sz w:val="36"/>
        </w:rPr>
      </w:pPr>
    </w:p>
    <w:p w:rsidR="00320DA9" w:rsidRDefault="00320DA9" w:rsidP="00320DA9">
      <w:pPr>
        <w:jc w:val="center"/>
        <w:rPr>
          <w:rFonts w:ascii="Times New Roman" w:hAnsi="Times New Roman"/>
          <w:b/>
          <w:sz w:val="36"/>
        </w:rPr>
      </w:pPr>
      <w:r>
        <w:rPr>
          <w:rFonts w:ascii="Times New Roman" w:hAnsi="Times New Roman"/>
          <w:b/>
          <w:sz w:val="36"/>
        </w:rPr>
        <w:t>Chlorpyrifos Doses to Women of the Columbia University Cohort</w:t>
      </w:r>
      <w:r w:rsidR="00196FFF">
        <w:rPr>
          <w:rFonts w:ascii="Times New Roman" w:hAnsi="Times New Roman"/>
          <w:b/>
          <w:sz w:val="36"/>
        </w:rPr>
        <w:t xml:space="preserve"> and Neurodevelopmental Impairment</w:t>
      </w:r>
      <w:r>
        <w:rPr>
          <w:rFonts w:ascii="Times New Roman" w:hAnsi="Times New Roman"/>
          <w:b/>
          <w:sz w:val="36"/>
        </w:rPr>
        <w:t>—A B</w:t>
      </w:r>
      <w:r w:rsidR="00F6279F">
        <w:rPr>
          <w:rFonts w:ascii="Times New Roman" w:hAnsi="Times New Roman"/>
          <w:b/>
          <w:sz w:val="36"/>
        </w:rPr>
        <w:t>ayesian</w:t>
      </w:r>
      <w:r w:rsidR="008A54F7">
        <w:rPr>
          <w:rFonts w:ascii="Times New Roman" w:hAnsi="Times New Roman"/>
          <w:b/>
          <w:sz w:val="36"/>
        </w:rPr>
        <w:t>-Inspired</w:t>
      </w:r>
      <w:r w:rsidR="00F6279F">
        <w:rPr>
          <w:rFonts w:ascii="Times New Roman" w:hAnsi="Times New Roman"/>
          <w:b/>
          <w:sz w:val="36"/>
        </w:rPr>
        <w:t xml:space="preserve"> Uncertainty Analysis </w:t>
      </w:r>
      <w:r w:rsidR="008C5A2A">
        <w:rPr>
          <w:rFonts w:ascii="Times New Roman" w:hAnsi="Times New Roman"/>
          <w:b/>
          <w:sz w:val="36"/>
        </w:rPr>
        <w:t xml:space="preserve">and Risk Projection </w:t>
      </w:r>
      <w:r w:rsidR="00F6279F">
        <w:rPr>
          <w:rFonts w:ascii="Times New Roman" w:hAnsi="Times New Roman"/>
          <w:b/>
          <w:sz w:val="36"/>
        </w:rPr>
        <w:t>Reflecting Inputs from Different Sources of Information</w:t>
      </w:r>
    </w:p>
    <w:p w:rsidR="00320DA9" w:rsidRDefault="00320DA9" w:rsidP="00320DA9">
      <w:pPr>
        <w:jc w:val="center"/>
        <w:rPr>
          <w:rFonts w:ascii="Times New Roman" w:hAnsi="Times New Roman"/>
          <w:b/>
          <w:sz w:val="36"/>
        </w:rPr>
      </w:pPr>
    </w:p>
    <w:p w:rsidR="00320DA9" w:rsidRDefault="00320DA9" w:rsidP="00320DA9">
      <w:pPr>
        <w:jc w:val="center"/>
        <w:rPr>
          <w:rFonts w:ascii="Times New Roman" w:hAnsi="Times New Roman"/>
          <w:b/>
          <w:sz w:val="36"/>
        </w:rPr>
      </w:pPr>
    </w:p>
    <w:p w:rsidR="00320DA9" w:rsidRDefault="00320DA9" w:rsidP="00320DA9">
      <w:pPr>
        <w:jc w:val="center"/>
        <w:rPr>
          <w:rFonts w:ascii="Times New Roman" w:hAnsi="Times New Roman"/>
          <w:b/>
          <w:sz w:val="36"/>
        </w:rPr>
      </w:pPr>
    </w:p>
    <w:p w:rsidR="00320DA9" w:rsidRDefault="00320DA9" w:rsidP="00320DA9">
      <w:pPr>
        <w:jc w:val="center"/>
        <w:rPr>
          <w:rFonts w:ascii="Times New Roman" w:hAnsi="Times New Roman"/>
          <w:b/>
          <w:sz w:val="36"/>
        </w:rPr>
      </w:pPr>
    </w:p>
    <w:p w:rsidR="00320DA9" w:rsidRDefault="00320DA9" w:rsidP="00320DA9">
      <w:pPr>
        <w:jc w:val="center"/>
        <w:rPr>
          <w:rFonts w:ascii="Times New Roman" w:hAnsi="Times New Roman"/>
          <w:b/>
          <w:sz w:val="36"/>
        </w:rPr>
      </w:pPr>
    </w:p>
    <w:p w:rsidR="00320DA9" w:rsidRDefault="00320DA9" w:rsidP="00320DA9">
      <w:pPr>
        <w:jc w:val="center"/>
        <w:rPr>
          <w:rFonts w:ascii="Times New Roman" w:hAnsi="Times New Roman"/>
          <w:b/>
          <w:sz w:val="36"/>
        </w:rPr>
      </w:pPr>
    </w:p>
    <w:p w:rsidR="0009348D" w:rsidRPr="0009348D" w:rsidRDefault="0009348D" w:rsidP="00320DA9">
      <w:pPr>
        <w:jc w:val="center"/>
        <w:rPr>
          <w:rFonts w:ascii="Times New Roman" w:hAnsi="Times New Roman"/>
          <w:b/>
          <w:sz w:val="28"/>
          <w:vertAlign w:val="superscript"/>
        </w:rPr>
      </w:pPr>
      <w:r>
        <w:rPr>
          <w:rFonts w:ascii="Times New Roman" w:hAnsi="Times New Roman"/>
          <w:b/>
          <w:sz w:val="28"/>
        </w:rPr>
        <w:t>Dale Hattis,</w:t>
      </w:r>
      <w:r>
        <w:rPr>
          <w:rFonts w:ascii="Times New Roman" w:hAnsi="Times New Roman"/>
          <w:b/>
          <w:sz w:val="28"/>
          <w:vertAlign w:val="superscript"/>
        </w:rPr>
        <w:t>1</w:t>
      </w:r>
      <w:r>
        <w:rPr>
          <w:rFonts w:ascii="Times New Roman" w:hAnsi="Times New Roman"/>
          <w:b/>
          <w:sz w:val="28"/>
        </w:rPr>
        <w:t xml:space="preserve"> Robin Whyatt,</w:t>
      </w:r>
      <w:r>
        <w:rPr>
          <w:rFonts w:ascii="Times New Roman" w:hAnsi="Times New Roman"/>
          <w:b/>
          <w:sz w:val="28"/>
          <w:vertAlign w:val="superscript"/>
        </w:rPr>
        <w:t>2</w:t>
      </w:r>
      <w:r>
        <w:rPr>
          <w:rFonts w:ascii="Times New Roman" w:hAnsi="Times New Roman"/>
          <w:b/>
          <w:sz w:val="28"/>
        </w:rPr>
        <w:t xml:space="preserve"> Robert Goble,</w:t>
      </w:r>
      <w:r w:rsidRPr="0009348D">
        <w:rPr>
          <w:rFonts w:ascii="Times New Roman" w:hAnsi="Times New Roman"/>
          <w:b/>
          <w:sz w:val="28"/>
          <w:vertAlign w:val="superscript"/>
        </w:rPr>
        <w:t xml:space="preserve"> </w:t>
      </w:r>
      <w:r>
        <w:rPr>
          <w:rFonts w:ascii="Times New Roman" w:hAnsi="Times New Roman"/>
          <w:b/>
          <w:sz w:val="28"/>
          <w:vertAlign w:val="superscript"/>
        </w:rPr>
        <w:t>1</w:t>
      </w:r>
      <w:r>
        <w:rPr>
          <w:rFonts w:ascii="Times New Roman" w:hAnsi="Times New Roman"/>
          <w:b/>
          <w:sz w:val="28"/>
        </w:rPr>
        <w:t xml:space="preserve"> </w:t>
      </w:r>
      <w:r w:rsidR="00320DA9">
        <w:rPr>
          <w:rFonts w:ascii="Times New Roman" w:hAnsi="Times New Roman"/>
          <w:b/>
          <w:sz w:val="28"/>
        </w:rPr>
        <w:t xml:space="preserve"> </w:t>
      </w:r>
      <w:r>
        <w:rPr>
          <w:rFonts w:ascii="Times New Roman" w:hAnsi="Times New Roman"/>
          <w:b/>
          <w:sz w:val="28"/>
        </w:rPr>
        <w:t>and Gary Ginsberg</w:t>
      </w:r>
      <w:r>
        <w:rPr>
          <w:rFonts w:ascii="Times New Roman" w:hAnsi="Times New Roman"/>
          <w:b/>
          <w:sz w:val="28"/>
          <w:vertAlign w:val="superscript"/>
        </w:rPr>
        <w:t>3</w:t>
      </w:r>
    </w:p>
    <w:p w:rsidR="00F6279F" w:rsidRDefault="00F6279F" w:rsidP="0009348D">
      <w:pPr>
        <w:rPr>
          <w:rFonts w:ascii="Times New Roman" w:hAnsi="Times New Roman"/>
          <w:b/>
          <w:sz w:val="28"/>
        </w:rPr>
      </w:pPr>
    </w:p>
    <w:p w:rsidR="00320DA9" w:rsidRDefault="00320DA9" w:rsidP="00320DA9">
      <w:pPr>
        <w:jc w:val="center"/>
        <w:rPr>
          <w:rFonts w:ascii="Times New Roman" w:hAnsi="Times New Roman"/>
          <w:b/>
          <w:sz w:val="28"/>
        </w:rPr>
      </w:pPr>
    </w:p>
    <w:p w:rsidR="00320DA9" w:rsidRDefault="00320DA9" w:rsidP="00320DA9">
      <w:pPr>
        <w:jc w:val="center"/>
        <w:rPr>
          <w:rFonts w:ascii="Times New Roman" w:hAnsi="Times New Roman"/>
          <w:b/>
          <w:sz w:val="28"/>
        </w:rPr>
      </w:pPr>
    </w:p>
    <w:p w:rsidR="00320DA9" w:rsidRDefault="00320DA9" w:rsidP="00320DA9">
      <w:pPr>
        <w:jc w:val="center"/>
        <w:rPr>
          <w:rFonts w:ascii="Times New Roman" w:hAnsi="Times New Roman"/>
          <w:b/>
          <w:sz w:val="28"/>
        </w:rPr>
      </w:pPr>
    </w:p>
    <w:p w:rsidR="00957378" w:rsidRPr="00241A04" w:rsidRDefault="00957378" w:rsidP="00957378">
      <w:pPr>
        <w:jc w:val="center"/>
        <w:rPr>
          <w:b/>
          <w:sz w:val="36"/>
        </w:rPr>
      </w:pPr>
      <w:r>
        <w:rPr>
          <w:rFonts w:ascii="Times New Roman" w:hAnsi="Times New Roman"/>
          <w:b/>
          <w:sz w:val="28"/>
        </w:rPr>
        <w:t xml:space="preserve">Final Technical Report for </w:t>
      </w:r>
      <w:r w:rsidR="001D1DC9">
        <w:rPr>
          <w:rFonts w:ascii="Times New Roman" w:hAnsi="Times New Roman"/>
          <w:b/>
          <w:sz w:val="28"/>
        </w:rPr>
        <w:t xml:space="preserve">EPA </w:t>
      </w:r>
      <w:r w:rsidR="00630817">
        <w:rPr>
          <w:rFonts w:ascii="Times New Roman" w:hAnsi="Times New Roman" w:cs="Times New Roman"/>
          <w:b/>
          <w:sz w:val="28"/>
          <w:szCs w:val="28"/>
        </w:rPr>
        <w:t xml:space="preserve">STAR Grant </w:t>
      </w:r>
      <w:r w:rsidRPr="00957378">
        <w:rPr>
          <w:rFonts w:ascii="Times New Roman" w:hAnsi="Times New Roman" w:cs="Times New Roman"/>
          <w:b/>
          <w:sz w:val="28"/>
          <w:szCs w:val="28"/>
        </w:rPr>
        <w:t>833453</w:t>
      </w:r>
      <w:r w:rsidR="00630817">
        <w:rPr>
          <w:rFonts w:ascii="Times New Roman" w:hAnsi="Times New Roman" w:cs="Times New Roman"/>
          <w:b/>
          <w:sz w:val="28"/>
          <w:szCs w:val="28"/>
        </w:rPr>
        <w:t>01</w:t>
      </w:r>
      <w:r>
        <w:rPr>
          <w:rFonts w:ascii="Times New Roman" w:hAnsi="Times New Roman" w:cs="Times New Roman"/>
          <w:b/>
          <w:sz w:val="28"/>
          <w:szCs w:val="28"/>
        </w:rPr>
        <w:t>,</w:t>
      </w:r>
      <w:r w:rsidR="00630817">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br/>
        <w:t>“</w:t>
      </w:r>
      <w:r w:rsidRPr="00957378">
        <w:rPr>
          <w:b/>
          <w:sz w:val="28"/>
          <w:szCs w:val="28"/>
        </w:rPr>
        <w:t>Use of Biomarkers and Physiologically Based Pharmacokinetic (PBPK) Modeling in Risk Analysis for Developmental Effects of Chlorpyrifos”</w:t>
      </w:r>
    </w:p>
    <w:p w:rsidR="00957378" w:rsidRPr="00241A04" w:rsidRDefault="00957378" w:rsidP="00957378">
      <w:pPr>
        <w:rPr>
          <w:b/>
          <w:sz w:val="36"/>
        </w:rPr>
      </w:pPr>
    </w:p>
    <w:p w:rsidR="00320DA9" w:rsidRDefault="00320DA9" w:rsidP="00957378">
      <w:pPr>
        <w:rPr>
          <w:rFonts w:ascii="Times New Roman" w:hAnsi="Times New Roman"/>
          <w:b/>
          <w:sz w:val="28"/>
        </w:rPr>
      </w:pPr>
    </w:p>
    <w:p w:rsidR="00320DA9" w:rsidRDefault="00320DA9" w:rsidP="00320DA9">
      <w:pPr>
        <w:jc w:val="center"/>
        <w:rPr>
          <w:rFonts w:ascii="Times New Roman" w:hAnsi="Times New Roman"/>
          <w:b/>
          <w:sz w:val="28"/>
        </w:rPr>
      </w:pPr>
    </w:p>
    <w:p w:rsidR="00D16228" w:rsidRDefault="00D16228" w:rsidP="00320DA9">
      <w:pPr>
        <w:jc w:val="center"/>
      </w:pPr>
    </w:p>
    <w:p w:rsidR="00DC1245" w:rsidRPr="00C63BC7" w:rsidRDefault="00DC1245" w:rsidP="00CF5988">
      <w:pPr>
        <w:pStyle w:val="Body"/>
        <w:jc w:val="center"/>
        <w:rPr>
          <w:rFonts w:cs="Times New Roman"/>
        </w:rPr>
      </w:pPr>
    </w:p>
    <w:p w:rsidR="0009348D" w:rsidRPr="00C63BC7" w:rsidRDefault="00252A71" w:rsidP="00CF5988">
      <w:pPr>
        <w:pStyle w:val="Body"/>
        <w:jc w:val="center"/>
        <w:rPr>
          <w:rFonts w:cs="Times New Roman"/>
          <w:color w:val="262626"/>
        </w:rPr>
      </w:pPr>
      <w:r>
        <w:rPr>
          <w:rFonts w:cs="Times New Roman"/>
          <w:color w:val="262626"/>
        </w:rPr>
        <w:t>2/21</w:t>
      </w:r>
      <w:r w:rsidR="00C75605">
        <w:rPr>
          <w:rFonts w:cs="Times New Roman"/>
          <w:color w:val="262626"/>
        </w:rPr>
        <w:t>/</w:t>
      </w:r>
      <w:r w:rsidR="004C22C8">
        <w:rPr>
          <w:rFonts w:cs="Times New Roman"/>
          <w:color w:val="262626"/>
        </w:rPr>
        <w:t>13</w:t>
      </w:r>
    </w:p>
    <w:p w:rsidR="0009348D" w:rsidRPr="00C63BC7" w:rsidRDefault="0009348D" w:rsidP="00CF5988">
      <w:pPr>
        <w:pStyle w:val="Body"/>
        <w:jc w:val="center"/>
        <w:rPr>
          <w:rFonts w:cs="Times New Roman"/>
          <w:color w:val="262626"/>
        </w:rPr>
      </w:pPr>
    </w:p>
    <w:p w:rsidR="0009348D" w:rsidRPr="00C63BC7" w:rsidRDefault="0009348D" w:rsidP="0009348D">
      <w:pPr>
        <w:pStyle w:val="Body"/>
        <w:rPr>
          <w:rFonts w:cs="Times New Roman"/>
          <w:color w:val="262626"/>
        </w:rPr>
      </w:pPr>
      <w:r w:rsidRPr="00C63BC7">
        <w:rPr>
          <w:rFonts w:cs="Times New Roman"/>
          <w:color w:val="262626"/>
          <w:vertAlign w:val="superscript"/>
        </w:rPr>
        <w:t>1</w:t>
      </w:r>
      <w:r w:rsidRPr="00C63BC7">
        <w:rPr>
          <w:rFonts w:cs="Times New Roman"/>
          <w:color w:val="262626"/>
        </w:rPr>
        <w:t>Clark University, 950 Main Street, Worcester, MA</w:t>
      </w:r>
    </w:p>
    <w:p w:rsidR="0009348D" w:rsidRPr="00C63BC7" w:rsidRDefault="0009348D" w:rsidP="0009348D">
      <w:pPr>
        <w:pStyle w:val="Body"/>
        <w:rPr>
          <w:rFonts w:cs="Times New Roman"/>
          <w:color w:val="262626"/>
        </w:rPr>
      </w:pPr>
      <w:r w:rsidRPr="00C63BC7">
        <w:rPr>
          <w:rFonts w:cs="Times New Roman"/>
          <w:color w:val="262626"/>
          <w:vertAlign w:val="superscript"/>
        </w:rPr>
        <w:t>2</w:t>
      </w:r>
      <w:r w:rsidRPr="00C63BC7">
        <w:rPr>
          <w:rFonts w:cs="Times New Roman"/>
          <w:color w:val="262626"/>
        </w:rPr>
        <w:t>Columbia University, New York, NY</w:t>
      </w:r>
    </w:p>
    <w:p w:rsidR="006744C9" w:rsidRDefault="0009348D" w:rsidP="0009348D">
      <w:pPr>
        <w:pStyle w:val="Body"/>
        <w:rPr>
          <w:b/>
          <w:sz w:val="28"/>
          <w:szCs w:val="28"/>
        </w:rPr>
      </w:pPr>
      <w:r w:rsidRPr="00C63BC7">
        <w:rPr>
          <w:rFonts w:cs="Times New Roman"/>
          <w:color w:val="262626"/>
          <w:vertAlign w:val="superscript"/>
        </w:rPr>
        <w:t>3</w:t>
      </w:r>
      <w:r w:rsidRPr="00C63BC7">
        <w:rPr>
          <w:rFonts w:cs="Times New Roman"/>
          <w:color w:val="262626"/>
        </w:rPr>
        <w:t>Connecticut Department of Public Health</w:t>
      </w:r>
      <w:r w:rsidR="00CF5988" w:rsidRPr="00C63BC7">
        <w:rPr>
          <w:rFonts w:cs="Times New Roman"/>
        </w:rPr>
        <w:br w:type="page"/>
      </w:r>
      <w:r w:rsidR="006744C9">
        <w:rPr>
          <w:b/>
          <w:sz w:val="28"/>
          <w:szCs w:val="28"/>
        </w:rPr>
        <w:lastRenderedPageBreak/>
        <w:t>Abstract</w:t>
      </w:r>
    </w:p>
    <w:p w:rsidR="006744C9" w:rsidRPr="0096789A" w:rsidRDefault="0096789A" w:rsidP="00154504">
      <w:pPr>
        <w:pStyle w:val="Body"/>
      </w:pPr>
      <w:r>
        <w:t xml:space="preserve">Neurodevelopmental effects of chlorpyrifos have been observed in human studies that relate indices of function at age 7 to </w:t>
      </w:r>
      <w:r w:rsidR="00FF1CF0">
        <w:t xml:space="preserve">fetal cord </w:t>
      </w:r>
      <w:r>
        <w:t xml:space="preserve">blood levels </w:t>
      </w:r>
      <w:r w:rsidR="00FF1CF0">
        <w:t>at birth</w:t>
      </w:r>
      <w:r>
        <w:t xml:space="preserve">.  Consideration of these findings in setting regulatory guidelines for exposure requires a way to translate between the </w:t>
      </w:r>
      <w:r w:rsidR="00FF1CF0">
        <w:t xml:space="preserve">fetal and </w:t>
      </w:r>
      <w:r>
        <w:t>maternal blood levels and external exposures.  This work integrates information from four sources</w:t>
      </w:r>
      <w:r w:rsidR="00FF1CF0">
        <w:t xml:space="preserve"> and associated </w:t>
      </w:r>
      <w:r w:rsidR="00E33D8E">
        <w:t xml:space="preserve">parameter </w:t>
      </w:r>
      <w:r w:rsidR="00FF1CF0">
        <w:t xml:space="preserve">uncertainties to develop the needed </w:t>
      </w:r>
      <w:r w:rsidR="00487423">
        <w:t xml:space="preserve">low-dose </w:t>
      </w:r>
      <w:r>
        <w:t xml:space="preserve">dosimetry translation </w:t>
      </w:r>
      <w:r w:rsidR="00FF1CF0">
        <w:t xml:space="preserve">factors.  </w:t>
      </w:r>
      <w:r>
        <w:t xml:space="preserve"> </w:t>
      </w:r>
      <w:r w:rsidR="00E33D8E">
        <w:t xml:space="preserve">There is more qualitative treatment of model uncertainties.  </w:t>
      </w:r>
      <w:r w:rsidR="00487423">
        <w:t xml:space="preserve">The results illustrate the narrowing of </w:t>
      </w:r>
      <w:r w:rsidR="00E33D8E">
        <w:t xml:space="preserve">parameter </w:t>
      </w:r>
      <w:r w:rsidR="00487423">
        <w:t xml:space="preserve">uncertainties with the progressive integration of different types of information, although even with all </w:t>
      </w:r>
      <w:r w:rsidR="00CF3EE8">
        <w:t>data inputs</w:t>
      </w:r>
      <w:r w:rsidR="00487423">
        <w:t xml:space="preserve"> considered, 95% confidence ranges on the potency of chlorpyrifos for inducing neurodevelopmental effects </w:t>
      </w:r>
      <w:r w:rsidR="00CF3EE8">
        <w:t xml:space="preserve">still span over 10-fold ranges, depending on the route of exposure and the specific index of function used.  </w:t>
      </w:r>
      <w:r w:rsidR="00E33D8E">
        <w:t xml:space="preserve">Extensive sensitivity analyses show the effects of including vs excluding specific information sources, and </w:t>
      </w:r>
      <w:r w:rsidR="00D0147C">
        <w:t>other analytical choices.  Despite the</w:t>
      </w:r>
      <w:r w:rsidR="00CF3EE8">
        <w:t xml:space="preserve"> residual uncertainty, the human observations suggest greater sensitivity to these effects than is provided for by standard inferences of protective exposure levels from observed inhibition of cholinesterase in adult rats, combined with traditional uncertainty factors. </w:t>
      </w:r>
      <w:r w:rsidR="006F7A98">
        <w:t xml:space="preserve"> Ultimate recommendations for risk management standards (RfDs and RfCs) based in part on these results will depend on the development of guidance that takes into account both </w:t>
      </w:r>
      <w:r w:rsidR="00831615">
        <w:t xml:space="preserve">human </w:t>
      </w:r>
      <w:r w:rsidR="006F7A98">
        <w:t xml:space="preserve">variability </w:t>
      </w:r>
      <w:r w:rsidR="00831615">
        <w:t xml:space="preserve">in susceptibility </w:t>
      </w:r>
      <w:r w:rsidR="006F7A98">
        <w:t xml:space="preserve">and </w:t>
      </w:r>
      <w:r w:rsidR="00831615">
        <w:t xml:space="preserve">the remaining </w:t>
      </w:r>
      <w:r w:rsidR="006F7A98">
        <w:t xml:space="preserve">uncertainty—that is, what percentile of the population is to be protected from how much impairment with what degree of confidence? </w:t>
      </w:r>
    </w:p>
    <w:p w:rsidR="00CF5988" w:rsidRDefault="006744C9" w:rsidP="00CF5988">
      <w:pPr>
        <w:pStyle w:val="Body"/>
        <w:jc w:val="center"/>
        <w:rPr>
          <w:b/>
          <w:sz w:val="28"/>
        </w:rPr>
      </w:pPr>
      <w:r>
        <w:rPr>
          <w:b/>
          <w:sz w:val="28"/>
        </w:rPr>
        <w:br w:type="page"/>
      </w:r>
      <w:r w:rsidR="00CF5988">
        <w:rPr>
          <w:b/>
          <w:sz w:val="28"/>
        </w:rPr>
        <w:lastRenderedPageBreak/>
        <w:t>Table of Contents</w:t>
      </w:r>
    </w:p>
    <w:p w:rsidR="00CF5988" w:rsidRDefault="00CF5988">
      <w:pPr>
        <w:pStyle w:val="TOC1"/>
        <w:tabs>
          <w:tab w:val="right" w:leader="dot" w:pos="9350"/>
        </w:tabs>
      </w:pPr>
    </w:p>
    <w:p w:rsidR="00191DA3" w:rsidRDefault="007A3FCF">
      <w:pPr>
        <w:pStyle w:val="TOC1"/>
        <w:tabs>
          <w:tab w:val="right" w:leader="dot" w:pos="9350"/>
        </w:tabs>
        <w:rPr>
          <w:noProof/>
        </w:rPr>
      </w:pPr>
      <w:r w:rsidRPr="007A3FCF">
        <w:rPr>
          <w:b/>
          <w:bCs/>
        </w:rPr>
        <w:fldChar w:fldCharType="begin"/>
      </w:r>
      <w:r w:rsidR="00191DA3">
        <w:rPr>
          <w:b/>
          <w:bCs/>
        </w:rPr>
        <w:instrText xml:space="preserve"> TOC \o "1-3" </w:instrText>
      </w:r>
      <w:r w:rsidRPr="007A3FCF">
        <w:rPr>
          <w:b/>
          <w:bCs/>
        </w:rPr>
        <w:fldChar w:fldCharType="separate"/>
      </w:r>
      <w:r w:rsidR="00191DA3">
        <w:rPr>
          <w:noProof/>
        </w:rPr>
        <w:t>1.  Background</w:t>
      </w:r>
      <w:r w:rsidR="00191DA3">
        <w:rPr>
          <w:noProof/>
        </w:rPr>
        <w:tab/>
      </w:r>
      <w:r>
        <w:rPr>
          <w:noProof/>
        </w:rPr>
        <w:fldChar w:fldCharType="begin"/>
      </w:r>
      <w:r w:rsidR="00191DA3">
        <w:rPr>
          <w:noProof/>
        </w:rPr>
        <w:instrText xml:space="preserve"> PAGEREF _Toc223068333 \h </w:instrText>
      </w:r>
      <w:r>
        <w:rPr>
          <w:noProof/>
        </w:rPr>
      </w:r>
      <w:r>
        <w:rPr>
          <w:noProof/>
        </w:rPr>
        <w:fldChar w:fldCharType="separate"/>
      </w:r>
      <w:r w:rsidR="00191DA3">
        <w:rPr>
          <w:noProof/>
        </w:rPr>
        <w:t>4</w:t>
      </w:r>
      <w:r>
        <w:rPr>
          <w:noProof/>
        </w:rPr>
        <w:fldChar w:fldCharType="end"/>
      </w:r>
    </w:p>
    <w:p w:rsidR="00191DA3" w:rsidRDefault="00191DA3">
      <w:pPr>
        <w:pStyle w:val="TOC1"/>
        <w:tabs>
          <w:tab w:val="right" w:leader="dot" w:pos="9350"/>
        </w:tabs>
        <w:rPr>
          <w:noProof/>
        </w:rPr>
      </w:pPr>
      <w:r>
        <w:rPr>
          <w:noProof/>
        </w:rPr>
        <w:t>2.  Analytical Methods</w:t>
      </w:r>
      <w:r>
        <w:rPr>
          <w:noProof/>
        </w:rPr>
        <w:tab/>
      </w:r>
      <w:r w:rsidR="007A3FCF">
        <w:rPr>
          <w:noProof/>
        </w:rPr>
        <w:fldChar w:fldCharType="begin"/>
      </w:r>
      <w:r>
        <w:rPr>
          <w:noProof/>
        </w:rPr>
        <w:instrText xml:space="preserve"> PAGEREF _Toc223068334 \h </w:instrText>
      </w:r>
      <w:r w:rsidR="007A3FCF">
        <w:rPr>
          <w:noProof/>
        </w:rPr>
      </w:r>
      <w:r w:rsidR="007A3FCF">
        <w:rPr>
          <w:noProof/>
        </w:rPr>
        <w:fldChar w:fldCharType="separate"/>
      </w:r>
      <w:r>
        <w:rPr>
          <w:noProof/>
        </w:rPr>
        <w:t>5</w:t>
      </w:r>
      <w:r w:rsidR="007A3FCF">
        <w:rPr>
          <w:noProof/>
        </w:rPr>
        <w:fldChar w:fldCharType="end"/>
      </w:r>
    </w:p>
    <w:p w:rsidR="00191DA3" w:rsidRDefault="00191DA3">
      <w:pPr>
        <w:pStyle w:val="TOC2"/>
        <w:tabs>
          <w:tab w:val="right" w:leader="dot" w:pos="9350"/>
        </w:tabs>
        <w:rPr>
          <w:noProof/>
        </w:rPr>
      </w:pPr>
      <w:r>
        <w:rPr>
          <w:noProof/>
        </w:rPr>
        <w:t>2.1  PBPK Modeling for Dosimetry Translation Among Different Routes of Exposure</w:t>
      </w:r>
      <w:r>
        <w:rPr>
          <w:noProof/>
        </w:rPr>
        <w:tab/>
      </w:r>
      <w:r w:rsidR="007A3FCF">
        <w:rPr>
          <w:noProof/>
        </w:rPr>
        <w:fldChar w:fldCharType="begin"/>
      </w:r>
      <w:r>
        <w:rPr>
          <w:noProof/>
        </w:rPr>
        <w:instrText xml:space="preserve"> PAGEREF _Toc223068335 \h </w:instrText>
      </w:r>
      <w:r w:rsidR="007A3FCF">
        <w:rPr>
          <w:noProof/>
        </w:rPr>
      </w:r>
      <w:r w:rsidR="007A3FCF">
        <w:rPr>
          <w:noProof/>
        </w:rPr>
        <w:fldChar w:fldCharType="separate"/>
      </w:r>
      <w:r>
        <w:rPr>
          <w:noProof/>
        </w:rPr>
        <w:t>5</w:t>
      </w:r>
      <w:r w:rsidR="007A3FCF">
        <w:rPr>
          <w:noProof/>
        </w:rPr>
        <w:fldChar w:fldCharType="end"/>
      </w:r>
    </w:p>
    <w:p w:rsidR="00191DA3" w:rsidRDefault="00191DA3">
      <w:pPr>
        <w:pStyle w:val="TOC2"/>
        <w:tabs>
          <w:tab w:val="right" w:leader="dot" w:pos="9350"/>
        </w:tabs>
        <w:rPr>
          <w:noProof/>
        </w:rPr>
      </w:pPr>
      <w:r>
        <w:rPr>
          <w:noProof/>
        </w:rPr>
        <w:t>2.2.  Combining Uncertainty Distributions from Various Sources</w:t>
      </w:r>
      <w:r>
        <w:rPr>
          <w:noProof/>
        </w:rPr>
        <w:tab/>
      </w:r>
      <w:r w:rsidR="007A3FCF">
        <w:rPr>
          <w:noProof/>
        </w:rPr>
        <w:fldChar w:fldCharType="begin"/>
      </w:r>
      <w:r>
        <w:rPr>
          <w:noProof/>
        </w:rPr>
        <w:instrText xml:space="preserve"> PAGEREF _Toc223068336 \h </w:instrText>
      </w:r>
      <w:r w:rsidR="007A3FCF">
        <w:rPr>
          <w:noProof/>
        </w:rPr>
      </w:r>
      <w:r w:rsidR="007A3FCF">
        <w:rPr>
          <w:noProof/>
        </w:rPr>
        <w:fldChar w:fldCharType="separate"/>
      </w:r>
      <w:r>
        <w:rPr>
          <w:noProof/>
        </w:rPr>
        <w:t>8</w:t>
      </w:r>
      <w:r w:rsidR="007A3FCF">
        <w:rPr>
          <w:noProof/>
        </w:rPr>
        <w:fldChar w:fldCharType="end"/>
      </w:r>
    </w:p>
    <w:p w:rsidR="00191DA3" w:rsidRDefault="00191DA3">
      <w:pPr>
        <w:pStyle w:val="TOC2"/>
        <w:tabs>
          <w:tab w:val="right" w:leader="dot" w:pos="9350"/>
        </w:tabs>
        <w:rPr>
          <w:noProof/>
        </w:rPr>
      </w:pPr>
      <w:r>
        <w:rPr>
          <w:noProof/>
        </w:rPr>
        <w:t>2.3  Deriving Probability Distributions for Each Source of Information</w:t>
      </w:r>
      <w:r>
        <w:rPr>
          <w:noProof/>
        </w:rPr>
        <w:tab/>
      </w:r>
      <w:r w:rsidR="007A3FCF">
        <w:rPr>
          <w:noProof/>
        </w:rPr>
        <w:fldChar w:fldCharType="begin"/>
      </w:r>
      <w:r>
        <w:rPr>
          <w:noProof/>
        </w:rPr>
        <w:instrText xml:space="preserve"> PAGEREF _Toc223068337 \h </w:instrText>
      </w:r>
      <w:r w:rsidR="007A3FCF">
        <w:rPr>
          <w:noProof/>
        </w:rPr>
      </w:r>
      <w:r w:rsidR="007A3FCF">
        <w:rPr>
          <w:noProof/>
        </w:rPr>
        <w:fldChar w:fldCharType="separate"/>
      </w:r>
      <w:r>
        <w:rPr>
          <w:noProof/>
        </w:rPr>
        <w:t>9</w:t>
      </w:r>
      <w:r w:rsidR="007A3FCF">
        <w:rPr>
          <w:noProof/>
        </w:rPr>
        <w:fldChar w:fldCharType="end"/>
      </w:r>
    </w:p>
    <w:p w:rsidR="00191DA3" w:rsidRDefault="00191DA3">
      <w:pPr>
        <w:pStyle w:val="TOC1"/>
        <w:tabs>
          <w:tab w:val="right" w:leader="dot" w:pos="9350"/>
        </w:tabs>
        <w:rPr>
          <w:noProof/>
        </w:rPr>
      </w:pPr>
      <w:r>
        <w:rPr>
          <w:noProof/>
        </w:rPr>
        <w:t>3.  Pharmacokinetic Results</w:t>
      </w:r>
      <w:r>
        <w:rPr>
          <w:noProof/>
        </w:rPr>
        <w:tab/>
      </w:r>
      <w:r w:rsidR="007A3FCF">
        <w:rPr>
          <w:noProof/>
        </w:rPr>
        <w:fldChar w:fldCharType="begin"/>
      </w:r>
      <w:r>
        <w:rPr>
          <w:noProof/>
        </w:rPr>
        <w:instrText xml:space="preserve"> PAGEREF _Toc223068338 \h </w:instrText>
      </w:r>
      <w:r w:rsidR="007A3FCF">
        <w:rPr>
          <w:noProof/>
        </w:rPr>
      </w:r>
      <w:r w:rsidR="007A3FCF">
        <w:rPr>
          <w:noProof/>
        </w:rPr>
        <w:fldChar w:fldCharType="separate"/>
      </w:r>
      <w:r>
        <w:rPr>
          <w:noProof/>
        </w:rPr>
        <w:t>9</w:t>
      </w:r>
      <w:r w:rsidR="007A3FCF">
        <w:rPr>
          <w:noProof/>
        </w:rPr>
        <w:fldChar w:fldCharType="end"/>
      </w:r>
    </w:p>
    <w:p w:rsidR="00191DA3" w:rsidRDefault="00191DA3">
      <w:pPr>
        <w:pStyle w:val="TOC1"/>
        <w:tabs>
          <w:tab w:val="right" w:leader="dot" w:pos="9350"/>
        </w:tabs>
        <w:rPr>
          <w:noProof/>
        </w:rPr>
      </w:pPr>
      <w:r>
        <w:rPr>
          <w:noProof/>
        </w:rPr>
        <w:t>4.  Preliminary Implications for the Potency of Chlorpyrifos for Inducing Modest Impairments in Neurological Development</w:t>
      </w:r>
      <w:r>
        <w:rPr>
          <w:noProof/>
        </w:rPr>
        <w:tab/>
      </w:r>
      <w:r w:rsidR="007A3FCF">
        <w:rPr>
          <w:noProof/>
        </w:rPr>
        <w:fldChar w:fldCharType="begin"/>
      </w:r>
      <w:r>
        <w:rPr>
          <w:noProof/>
        </w:rPr>
        <w:instrText xml:space="preserve"> PAGEREF _Toc223068339 \h </w:instrText>
      </w:r>
      <w:r w:rsidR="007A3FCF">
        <w:rPr>
          <w:noProof/>
        </w:rPr>
      </w:r>
      <w:r w:rsidR="007A3FCF">
        <w:rPr>
          <w:noProof/>
        </w:rPr>
        <w:fldChar w:fldCharType="separate"/>
      </w:r>
      <w:r>
        <w:rPr>
          <w:noProof/>
        </w:rPr>
        <w:t>20</w:t>
      </w:r>
      <w:r w:rsidR="007A3FCF">
        <w:rPr>
          <w:noProof/>
        </w:rPr>
        <w:fldChar w:fldCharType="end"/>
      </w:r>
    </w:p>
    <w:p w:rsidR="00191DA3" w:rsidRDefault="00191DA3">
      <w:pPr>
        <w:pStyle w:val="TOC1"/>
        <w:tabs>
          <w:tab w:val="right" w:leader="dot" w:pos="9350"/>
        </w:tabs>
        <w:rPr>
          <w:noProof/>
        </w:rPr>
      </w:pPr>
      <w:r>
        <w:rPr>
          <w:noProof/>
        </w:rPr>
        <w:t>5.  Discussion</w:t>
      </w:r>
      <w:r>
        <w:rPr>
          <w:noProof/>
        </w:rPr>
        <w:tab/>
      </w:r>
      <w:r w:rsidR="007A3FCF">
        <w:rPr>
          <w:noProof/>
        </w:rPr>
        <w:fldChar w:fldCharType="begin"/>
      </w:r>
      <w:r>
        <w:rPr>
          <w:noProof/>
        </w:rPr>
        <w:instrText xml:space="preserve"> PAGEREF _Toc223068340 \h </w:instrText>
      </w:r>
      <w:r w:rsidR="007A3FCF">
        <w:rPr>
          <w:noProof/>
        </w:rPr>
      </w:r>
      <w:r w:rsidR="007A3FCF">
        <w:rPr>
          <w:noProof/>
        </w:rPr>
        <w:fldChar w:fldCharType="separate"/>
      </w:r>
      <w:r>
        <w:rPr>
          <w:noProof/>
        </w:rPr>
        <w:t>22</w:t>
      </w:r>
      <w:r w:rsidR="007A3FCF">
        <w:rPr>
          <w:noProof/>
        </w:rPr>
        <w:fldChar w:fldCharType="end"/>
      </w:r>
    </w:p>
    <w:p w:rsidR="00191DA3" w:rsidRDefault="00191DA3">
      <w:pPr>
        <w:pStyle w:val="TOC1"/>
        <w:tabs>
          <w:tab w:val="right" w:leader="dot" w:pos="9350"/>
        </w:tabs>
        <w:rPr>
          <w:noProof/>
        </w:rPr>
      </w:pPr>
      <w:r>
        <w:rPr>
          <w:noProof/>
        </w:rPr>
        <w:t>Summary</w:t>
      </w:r>
      <w:r>
        <w:rPr>
          <w:noProof/>
        </w:rPr>
        <w:tab/>
      </w:r>
      <w:r w:rsidR="007A3FCF">
        <w:rPr>
          <w:noProof/>
        </w:rPr>
        <w:fldChar w:fldCharType="begin"/>
      </w:r>
      <w:r>
        <w:rPr>
          <w:noProof/>
        </w:rPr>
        <w:instrText xml:space="preserve"> PAGEREF _Toc223068341 \h </w:instrText>
      </w:r>
      <w:r w:rsidR="007A3FCF">
        <w:rPr>
          <w:noProof/>
        </w:rPr>
      </w:r>
      <w:r w:rsidR="007A3FCF">
        <w:rPr>
          <w:noProof/>
        </w:rPr>
        <w:fldChar w:fldCharType="separate"/>
      </w:r>
      <w:r>
        <w:rPr>
          <w:noProof/>
        </w:rPr>
        <w:t>24</w:t>
      </w:r>
      <w:r w:rsidR="007A3FCF">
        <w:rPr>
          <w:noProof/>
        </w:rPr>
        <w:fldChar w:fldCharType="end"/>
      </w:r>
    </w:p>
    <w:p w:rsidR="00191DA3" w:rsidRDefault="00191DA3">
      <w:pPr>
        <w:pStyle w:val="TOC1"/>
        <w:tabs>
          <w:tab w:val="right" w:leader="dot" w:pos="9350"/>
        </w:tabs>
        <w:rPr>
          <w:noProof/>
        </w:rPr>
      </w:pPr>
      <w:r>
        <w:rPr>
          <w:noProof/>
        </w:rPr>
        <w:t>Acknowledgements</w:t>
      </w:r>
      <w:r>
        <w:rPr>
          <w:noProof/>
        </w:rPr>
        <w:tab/>
      </w:r>
      <w:r w:rsidR="007A3FCF">
        <w:rPr>
          <w:noProof/>
        </w:rPr>
        <w:fldChar w:fldCharType="begin"/>
      </w:r>
      <w:r>
        <w:rPr>
          <w:noProof/>
        </w:rPr>
        <w:instrText xml:space="preserve"> PAGEREF _Toc223068342 \h </w:instrText>
      </w:r>
      <w:r w:rsidR="007A3FCF">
        <w:rPr>
          <w:noProof/>
        </w:rPr>
      </w:r>
      <w:r w:rsidR="007A3FCF">
        <w:rPr>
          <w:noProof/>
        </w:rPr>
        <w:fldChar w:fldCharType="separate"/>
      </w:r>
      <w:r>
        <w:rPr>
          <w:noProof/>
        </w:rPr>
        <w:t>24</w:t>
      </w:r>
      <w:r w:rsidR="007A3FCF">
        <w:rPr>
          <w:noProof/>
        </w:rPr>
        <w:fldChar w:fldCharType="end"/>
      </w:r>
    </w:p>
    <w:p w:rsidR="00D16228" w:rsidRDefault="007A3FCF" w:rsidP="00CF5988">
      <w:pPr>
        <w:pStyle w:val="Heading1"/>
      </w:pPr>
      <w:r>
        <w:rPr>
          <w:rFonts w:asciiTheme="minorHAnsi" w:eastAsiaTheme="minorEastAsia" w:hAnsiTheme="minorHAnsi" w:cstheme="minorBidi"/>
          <w:b w:val="0"/>
          <w:bCs w:val="0"/>
          <w:color w:val="auto"/>
          <w:sz w:val="24"/>
          <w:szCs w:val="24"/>
        </w:rPr>
        <w:fldChar w:fldCharType="end"/>
      </w:r>
      <w:bookmarkStart w:id="0" w:name="_GoBack"/>
      <w:bookmarkEnd w:id="0"/>
      <w:r w:rsidR="00D16228">
        <w:br w:type="page"/>
      </w:r>
      <w:bookmarkStart w:id="1" w:name="_Toc223068333"/>
      <w:r w:rsidR="00CF5988">
        <w:lastRenderedPageBreak/>
        <w:t xml:space="preserve">1.  </w:t>
      </w:r>
      <w:r w:rsidR="00D16228">
        <w:t>Background</w:t>
      </w:r>
      <w:bookmarkEnd w:id="1"/>
    </w:p>
    <w:p w:rsidR="00D16228" w:rsidRDefault="00D16228" w:rsidP="00D16228"/>
    <w:p w:rsidR="00ED18FB" w:rsidRDefault="00ED18FB" w:rsidP="00ED18FB">
      <w:pPr>
        <w:pStyle w:val="Body"/>
      </w:pPr>
      <w:r w:rsidRPr="003C6AC4">
        <w:t xml:space="preserve">The preliminary EPA risk assessment for chlorpyrifos </w:t>
      </w:r>
      <w:r w:rsidR="007A3FCF">
        <w:fldChar w:fldCharType="begin"/>
      </w:r>
      <w:r>
        <w:instrText xml:space="preserve"> ADDIN EN.CITE &lt;EndNote&gt;&lt;Cite&gt;&lt;Author&gt;USEPA&lt;/Author&gt;&lt;Year&gt;2011&lt;/Year&gt;&lt;RecNum&gt;227&lt;/RecNum&gt;&lt;DisplayText&gt;&lt;style face="superscript"&gt;(1)&lt;/style&gt;&lt;/DisplayText&gt;&lt;record&gt;&lt;rec-number&gt;227&lt;/rec-number&gt;&lt;foreign-keys&gt;&lt;key app="EN" db-id="apt5x9twmavw5feppw2p0x27wdvz92ez0va2"&gt;227&lt;/key&gt;&lt;/foreign-keys&gt;&lt;ref-type name="Report"&gt;27&lt;/ref-type&gt;&lt;contributors&gt;&lt;authors&gt;&lt;author&gt;USEPA&lt;/author&gt;&lt;/authors&gt;&lt;/contributors&gt;&lt;titles&gt;&lt;title&gt;Chlorpyrifos:  Preliminary Human Health Risk Assesment for Registration Review&lt;/title&gt;&lt;/titles&gt;&lt;number&gt;DP No. D388070&lt;/number&gt;&lt;dates&gt;&lt;year&gt;2011&lt;/year&gt;&lt;/dates&gt;&lt;isbn&gt;EPA docket item EPA-HQ-OPP-2008-0850-0025&lt;/isbn&gt;&lt;urls&gt;&lt;/urls&gt;&lt;/record&gt;&lt;/Cite&gt;&lt;/EndNote&gt;</w:instrText>
      </w:r>
      <w:r w:rsidR="007A3FCF">
        <w:fldChar w:fldCharType="separate"/>
      </w:r>
      <w:r w:rsidRPr="009859D9">
        <w:rPr>
          <w:noProof/>
          <w:vertAlign w:val="superscript"/>
        </w:rPr>
        <w:t>(</w:t>
      </w:r>
      <w:hyperlink w:anchor="_ENREF_1" w:tooltip="USEPA, 2011 #227" w:history="1">
        <w:r w:rsidR="00FC54EA" w:rsidRPr="009859D9">
          <w:rPr>
            <w:noProof/>
            <w:vertAlign w:val="superscript"/>
          </w:rPr>
          <w:t>1</w:t>
        </w:r>
      </w:hyperlink>
      <w:r w:rsidRPr="009859D9">
        <w:rPr>
          <w:noProof/>
          <w:vertAlign w:val="superscript"/>
        </w:rPr>
        <w:t>)</w:t>
      </w:r>
      <w:r w:rsidR="007A3FCF">
        <w:fldChar w:fldCharType="end"/>
      </w:r>
      <w:r w:rsidRPr="00A55088">
        <w:t xml:space="preserve"> </w:t>
      </w:r>
      <w:r w:rsidRPr="003C6AC4">
        <w:t>derives proposed reference doses (RfDs) and reference concentrations (RfCs) entirely from observations of cholines</w:t>
      </w:r>
      <w:r>
        <w:t>terase in</w:t>
      </w:r>
      <w:r w:rsidR="00252A71">
        <w:t xml:space="preserve">hibition in animals.  However,recent </w:t>
      </w:r>
      <w:r>
        <w:t>epidemiological data from Columbia University researchers</w:t>
      </w:r>
      <w:r w:rsidR="007A3FCF">
        <w:fldChar w:fldCharType="begin"/>
      </w:r>
      <w:r w:rsidR="00FD17D1">
        <w:instrText xml:space="preserve"> ADDIN EN.CITE &lt;EndNote&gt;&lt;Cite&gt;&lt;Author&gt;Rauh&lt;/Author&gt;&lt;Year&gt;2011&lt;/Year&gt;&lt;RecNum&gt;90&lt;/RecNum&gt;&lt;DisplayText&gt;&lt;style face="superscript"&gt;(2)&lt;/style&gt;&lt;/DisplayText&gt;&lt;record&gt;&lt;rec-number&gt;90&lt;/rec-number&gt;&lt;foreign-keys&gt;&lt;key app="EN" db-id="apt5x9twmavw5feppw2p0x27wdvz92ez0va2"&gt;90&lt;/key&gt;&lt;/foreign-keys&gt;&lt;ref-type name="Journal Article"&gt;17&lt;/ref-type&gt;&lt;contributors&gt;&lt;authors&gt;&lt;author&gt;Rauh, V.&lt;/author&gt;&lt;author&gt;Arunajadai, S.&lt;/author&gt;&lt;author&gt;Horton, M.&lt;/author&gt;&lt;author&gt;Perera, F.&lt;/author&gt;&lt;author&gt;Hoepner, L.&lt;/author&gt;&lt;author&gt;Barr, D. B.&lt;/author&gt;&lt;author&gt;Whyatt, R.&lt;/author&gt;&lt;/authors&gt;&lt;/contributors&gt;&lt;auth-address&gt;Heilbrunn Center for Population and Family Health, Mailman School of Public Health.&lt;/auth-address&gt;&lt;titles&gt;&lt;title&gt;Seven-year neurodevelopmental scores and prenatal exposure to chlorpyrifos, a common agricultural pesticide&lt;/title&gt;&lt;secondary-title&gt;Environ Health Perspect&lt;/secondary-title&gt;&lt;/titles&gt;&lt;periodical&gt;&lt;full-title&gt;Environ Health Perspect&lt;/full-title&gt;&lt;/periodical&gt;&lt;pages&gt;1196-201&lt;/pages&gt;&lt;volume&gt;119&lt;/volume&gt;&lt;number&gt;8&lt;/number&gt;&lt;edition&gt;2011/04/22&lt;/edition&gt;&lt;dates&gt;&lt;year&gt;2011&lt;/year&gt;&lt;pub-dates&gt;&lt;date&gt;Aug&lt;/date&gt;&lt;/pub-dates&gt;&lt;/dates&gt;&lt;isbn&gt;1552-9924 (Electronic)&amp;#xD;0091-6765 (Linking)&lt;/isbn&gt;&lt;accession-num&gt;21507777&lt;/accession-num&gt;&lt;urls&gt;&lt;related-urls&gt;&lt;url&gt;http://www.ncbi.nlm.nih.gov/entrez/query.fcgi?cmd=Retrieve&amp;amp;db=PubMed&amp;amp;dopt=Citation&amp;amp;list_uids=21507777&lt;/url&gt;&lt;/related-urls&gt;&lt;/urls&gt;&lt;electronic-resource-num&gt;10.1289/ehp.1003160&lt;/electronic-resource-num&gt;&lt;language&gt;eng&lt;/language&gt;&lt;/record&gt;&lt;/Cite&gt;&lt;/EndNote&gt;</w:instrText>
      </w:r>
      <w:r w:rsidR="007A3FCF">
        <w:fldChar w:fldCharType="separate"/>
      </w:r>
      <w:r w:rsidRPr="009859D9">
        <w:rPr>
          <w:noProof/>
          <w:vertAlign w:val="superscript"/>
        </w:rPr>
        <w:t>(</w:t>
      </w:r>
      <w:hyperlink w:anchor="_ENREF_2" w:tooltip="Rauh, 2011 #90" w:history="1">
        <w:r w:rsidR="00FC54EA" w:rsidRPr="009859D9">
          <w:rPr>
            <w:noProof/>
            <w:vertAlign w:val="superscript"/>
          </w:rPr>
          <w:t>2</w:t>
        </w:r>
      </w:hyperlink>
      <w:r w:rsidRPr="009859D9">
        <w:rPr>
          <w:noProof/>
          <w:vertAlign w:val="superscript"/>
        </w:rPr>
        <w:t>)</w:t>
      </w:r>
      <w:r w:rsidR="007A3FCF">
        <w:fldChar w:fldCharType="end"/>
      </w:r>
      <w:r>
        <w:t xml:space="preserve"> </w:t>
      </w:r>
      <w:r w:rsidR="007A3FCF">
        <w:fldChar w:fldCharType="begin"/>
      </w:r>
      <w:r w:rsidR="005972F9">
        <w:instrText xml:space="preserve"> ADDIN EN.CITE &lt;EndNote&gt;&lt;Cite&gt;&lt;Author&gt;Rauh&lt;/Author&gt;&lt;Year&gt;2006&lt;/Year&gt;&lt;RecNum&gt;222&lt;/RecNum&gt;&lt;DisplayText&gt;&lt;style face="superscript"&gt;(3, 4)&lt;/style&gt;&lt;/DisplayText&gt;&lt;record&gt;&lt;rec-number&gt;222&lt;/rec-number&gt;&lt;foreign-keys&gt;&lt;key app="EN" db-id="apt5x9twmavw5feppw2p0x27wdvz92ez0va2"&gt;222&lt;/key&gt;&lt;/foreign-keys&gt;&lt;ref-type name="Journal Article"&gt;17&lt;/ref-type&gt;&lt;contributors&gt;&lt;authors&gt;&lt;author&gt;Rauh, VA, Garfinkel, R, Perera, FP, Andrews, HF, Hoepner, L, Barr, DB, Whitehead, R, Tang, D, Whyatt, RM&lt;/author&gt;&lt;/authors&gt;&lt;/contributors&gt;&lt;titles&gt;&lt;title&gt;Impact of prenatal chlorpyrifos exposure on neurodevelopment in the first 3 years of&amp;#xD;life among inner-city children.&lt;/title&gt;&lt;secondary-title&gt;Pediatrics&lt;/secondary-title&gt;&lt;/titles&gt;&lt;periodical&gt;&lt;full-title&gt;Pediatrics&lt;/full-title&gt;&lt;/periodical&gt;&lt;pages&gt;e1845-e1859&lt;/pages&gt;&lt;volume&gt;118&lt;/volume&gt;&lt;section&gt;e1845&lt;/section&gt;&lt;dates&gt;&lt;year&gt;2006&lt;/year&gt;&lt;/dates&gt;&lt;urls&gt;&lt;/urls&gt;&lt;/record&gt;&lt;/Cite&gt;&lt;Cite&gt;&lt;Author&gt;Whyatt&lt;/Author&gt;&lt;Year&gt;2004&lt;/Year&gt;&lt;RecNum&gt;221&lt;/RecNum&gt;&lt;record&gt;&lt;rec-number&gt;221&lt;/rec-number&gt;&lt;foreign-keys&gt;&lt;key app="EN" db-id="apt5x9twmavw5feppw2p0x27wdvz92ez0va2"&gt;221&lt;/key&gt;&lt;/foreign-keys&gt;&lt;ref-type name="Journal Article"&gt;17&lt;/ref-type&gt;&lt;contributors&gt;&lt;authors&gt;&lt;author&gt;Whyatt, RM, Rauh, V, Barr, DB, Camann, DE, Andrews, HF, Garfinkel, R, Hoepner, LA, Dazi, D, Dietrich, J, Reyes, A, Tang, D, Kinney, P, Perera, FP&lt;/author&gt;&lt;/authors&gt;&lt;/contributors&gt;&lt;titles&gt;&lt;title&gt;Prenatal insecticide exposures and birth weight and length among an urban minority cohort.&lt;/title&gt;&lt;secondary-title&gt;Environmental Health Perspectives&lt;/secondary-title&gt;&lt;/titles&gt;&lt;periodical&gt;&lt;full-title&gt;Environmental Health Perspectives&lt;/full-title&gt;&lt;/periodical&gt;&lt;pages&gt;1125-1132&lt;/pages&gt;&lt;volume&gt;112&lt;/volume&gt;&lt;number&gt;10&lt;/number&gt;&lt;section&gt;1125&lt;/section&gt;&lt;dates&gt;&lt;year&gt;2004&lt;/year&gt;&lt;/dates&gt;&lt;urls&gt;&lt;/urls&gt;&lt;/record&gt;&lt;/Cite&gt;&lt;/EndNote&gt;</w:instrText>
      </w:r>
      <w:r w:rsidR="007A3FCF">
        <w:fldChar w:fldCharType="separate"/>
      </w:r>
      <w:r w:rsidR="005972F9" w:rsidRPr="005972F9">
        <w:rPr>
          <w:noProof/>
          <w:vertAlign w:val="superscript"/>
        </w:rPr>
        <w:t>(</w:t>
      </w:r>
      <w:hyperlink w:anchor="_ENREF_3" w:tooltip="Rauh, 2006 #222" w:history="1">
        <w:r w:rsidR="00FC54EA" w:rsidRPr="005972F9">
          <w:rPr>
            <w:noProof/>
            <w:vertAlign w:val="superscript"/>
          </w:rPr>
          <w:t>3</w:t>
        </w:r>
      </w:hyperlink>
      <w:r w:rsidR="005972F9" w:rsidRPr="005972F9">
        <w:rPr>
          <w:noProof/>
          <w:vertAlign w:val="superscript"/>
        </w:rPr>
        <w:t xml:space="preserve">, </w:t>
      </w:r>
      <w:hyperlink w:anchor="_ENREF_4" w:tooltip="Whyatt, 2004 #221" w:history="1">
        <w:r w:rsidR="00FC54EA" w:rsidRPr="005972F9">
          <w:rPr>
            <w:noProof/>
            <w:vertAlign w:val="superscript"/>
          </w:rPr>
          <w:t>4</w:t>
        </w:r>
      </w:hyperlink>
      <w:r w:rsidR="005972F9" w:rsidRPr="005972F9">
        <w:rPr>
          <w:noProof/>
          <w:vertAlign w:val="superscript"/>
        </w:rPr>
        <w:t>)</w:t>
      </w:r>
      <w:r w:rsidR="007A3FCF">
        <w:fldChar w:fldCharType="end"/>
      </w:r>
      <w:r>
        <w:t xml:space="preserve"> </w:t>
      </w:r>
      <w:r w:rsidR="007A3FCF">
        <w:fldChar w:fldCharType="begin"/>
      </w:r>
      <w:r w:rsidR="005972F9">
        <w:instrText xml:space="preserve"> ADDIN EN.CITE &lt;EndNote&gt;&lt;Cite&gt;&lt;Author&gt;Horton&lt;/Author&gt;&lt;Year&gt;2012&lt;/Year&gt;&lt;RecNum&gt;101&lt;/RecNum&gt;&lt;DisplayText&gt;&lt;style face="superscript"&gt;(5)&lt;/style&gt;&lt;/DisplayText&gt;&lt;record&gt;&lt;rec-number&gt;101&lt;/rec-number&gt;&lt;foreign-keys&gt;&lt;key app="EN" db-id="wtex5dp2gtrtffetav4xtwa7xz9rztdrp0ze"&gt;101&lt;/key&gt;&lt;/foreign-keys&gt;&lt;ref-type name="Journal Article"&gt;17&lt;/ref-type&gt;&lt;contributors&gt;&lt;authors&gt;&lt;author&gt;Horton, MK, Kahn, LG, Perera, F, Barr, DB, Rauh, V&lt;/author&gt;&lt;/authors&gt;&lt;/contributors&gt;&lt;titles&gt;&lt;title&gt;Does the home environment and the sex of the child modify the adverse effects of&amp;#xD;prenatal exposure to chlorpyrifos on child working memory?&lt;/title&gt;&lt;secondary-title&gt;Neurotoxicology and Teratology&lt;/secondary-title&gt;&lt;/titles&gt;&lt;periodical&gt;&lt;full-title&gt;Neurotoxicology and teratology&lt;/full-title&gt;&lt;abbr-1&gt;Neurotoxicol Teratol&lt;/abbr-1&gt;&lt;/periodical&gt;&lt;volume&gt;in press&lt;/volume&gt;&lt;dates&gt;&lt;year&gt;2012&lt;/year&gt;&lt;/dates&gt;&lt;urls&gt;&lt;/urls&gt;&lt;/record&gt;&lt;/Cite&gt;&lt;/EndNote&gt;</w:instrText>
      </w:r>
      <w:r w:rsidR="007A3FCF">
        <w:fldChar w:fldCharType="separate"/>
      </w:r>
      <w:r w:rsidR="005972F9" w:rsidRPr="005972F9">
        <w:rPr>
          <w:noProof/>
          <w:vertAlign w:val="superscript"/>
        </w:rPr>
        <w:t>(</w:t>
      </w:r>
      <w:hyperlink w:anchor="_ENREF_5" w:tooltip="Horton, 2012 #101" w:history="1">
        <w:r w:rsidR="00FC54EA" w:rsidRPr="005972F9">
          <w:rPr>
            <w:noProof/>
            <w:vertAlign w:val="superscript"/>
          </w:rPr>
          <w:t>5</w:t>
        </w:r>
      </w:hyperlink>
      <w:r w:rsidR="005972F9" w:rsidRPr="005972F9">
        <w:rPr>
          <w:noProof/>
          <w:vertAlign w:val="superscript"/>
        </w:rPr>
        <w:t>)</w:t>
      </w:r>
      <w:r w:rsidR="007A3FCF">
        <w:fldChar w:fldCharType="end"/>
      </w:r>
      <w:r w:rsidR="005972F9" w:rsidRPr="005972F9">
        <w:t xml:space="preserve"> </w:t>
      </w:r>
      <w:r>
        <w:t>and others</w:t>
      </w:r>
      <w:r w:rsidR="007A3FCF">
        <w:fldChar w:fldCharType="begin"/>
      </w:r>
      <w:r w:rsidR="005972F9">
        <w:instrText xml:space="preserve"> ADDIN EN.CITE &lt;EndNote&gt;&lt;Cite&gt;&lt;Author&gt;Engel&lt;/Author&gt;&lt;Year&gt;2011&lt;/Year&gt;&lt;RecNum&gt;223&lt;/RecNum&gt;&lt;DisplayText&gt;&lt;style face="superscript"&gt;(6)&lt;/style&gt;&lt;/DisplayText&gt;&lt;record&gt;&lt;rec-number&gt;223&lt;/rec-number&gt;&lt;foreign-keys&gt;&lt;key app="EN" db-id="apt5x9twmavw5feppw2p0x27wdvz92ez0va2"&gt;223&lt;/key&gt;&lt;/foreign-keys&gt;&lt;ref-type name="Journal Article"&gt;17&lt;/ref-type&gt;&lt;contributors&gt;&lt;authors&gt;&lt;author&gt;Engel, SM, Wetmur, J, Chen, J, Zhu, C, Barr, DP, Canfield, RL, Wolff, MS&lt;/author&gt;&lt;/authors&gt;&lt;/contributors&gt;&lt;titles&gt;&lt;title&gt;Prenatal Exposure to Organophosphates, Paraoxonase 1, and Cognitive Development in Childhood.&lt;/title&gt;&lt;secondary-title&gt;Environmental Health Perspectives&lt;/secondary-title&gt;&lt;/titles&gt;&lt;periodical&gt;&lt;full-title&gt;Environmental Health Perspectives&lt;/full-title&gt;&lt;/periodical&gt;&lt;pages&gt;1182-1188&lt;/pages&gt;&lt;volume&gt;119&lt;/volume&gt;&lt;number&gt;8&lt;/number&gt;&lt;section&gt;1182&lt;/section&gt;&lt;dates&gt;&lt;year&gt;2011&lt;/year&gt;&lt;/dates&gt;&lt;urls&gt;&lt;/urls&gt;&lt;/record&gt;&lt;/Cite&gt;&lt;/EndNote&gt;</w:instrText>
      </w:r>
      <w:r w:rsidR="007A3FCF">
        <w:fldChar w:fldCharType="separate"/>
      </w:r>
      <w:r w:rsidR="005972F9" w:rsidRPr="005972F9">
        <w:rPr>
          <w:noProof/>
          <w:vertAlign w:val="superscript"/>
        </w:rPr>
        <w:t>(</w:t>
      </w:r>
      <w:hyperlink w:anchor="_ENREF_6" w:tooltip="Engel, 2011 #223" w:history="1">
        <w:r w:rsidR="00FC54EA" w:rsidRPr="005972F9">
          <w:rPr>
            <w:noProof/>
            <w:vertAlign w:val="superscript"/>
          </w:rPr>
          <w:t>6</w:t>
        </w:r>
      </w:hyperlink>
      <w:r w:rsidR="005972F9" w:rsidRPr="005972F9">
        <w:rPr>
          <w:noProof/>
          <w:vertAlign w:val="superscript"/>
        </w:rPr>
        <w:t>)</w:t>
      </w:r>
      <w:r w:rsidR="007A3FCF">
        <w:fldChar w:fldCharType="end"/>
      </w:r>
      <w:r>
        <w:t xml:space="preserve"> </w:t>
      </w:r>
      <w:r w:rsidR="007A3FCF">
        <w:fldChar w:fldCharType="begin"/>
      </w:r>
      <w:r w:rsidR="005972F9">
        <w:instrText xml:space="preserve"> ADDIN EN.CITE &lt;EndNote&gt;&lt;Cite&gt;&lt;Author&gt;Bouchard&lt;/Author&gt;&lt;Year&gt;2011&lt;/Year&gt;&lt;RecNum&gt;224&lt;/RecNum&gt;&lt;DisplayText&gt;&lt;style face="superscript"&gt;(7)&lt;/style&gt;&lt;/DisplayText&gt;&lt;record&gt;&lt;rec-number&gt;224&lt;/rec-number&gt;&lt;foreign-keys&gt;&lt;key app="EN" db-id="apt5x9twmavw5feppw2p0x27wdvz92ez0va2"&gt;224&lt;/key&gt;&lt;/foreign-keys&gt;&lt;ref-type name="Journal Article"&gt;17&lt;/ref-type&gt;&lt;contributors&gt;&lt;authors&gt;&lt;author&gt;Bouchard, MF, Chevrier, J, Harley, KG, Kogut, K, Vedar, M, Calderon, N, Trujillo, C, Johnson, C, Bradman, A, Barr, DB, Eskenazi, B&lt;/author&gt;&lt;/authors&gt;&lt;/contributors&gt;&lt;titles&gt;&lt;title&gt;Prenatal Exposure to Organophosphate Pesticides and IQ in 7-Year-Old Children&lt;/title&gt;&lt;secondary-title&gt;Environmental Health Perspectives&lt;/secondary-title&gt;&lt;/titles&gt;&lt;periodical&gt;&lt;full-title&gt;Environmental Health Perspectives&lt;/full-title&gt;&lt;/periodical&gt;&lt;pages&gt;1189-1195&lt;/pages&gt;&lt;volume&gt;119&lt;/volume&gt;&lt;number&gt;8&lt;/number&gt;&lt;section&gt;1189&lt;/section&gt;&lt;dates&gt;&lt;year&gt;2011&lt;/year&gt;&lt;/dates&gt;&lt;urls&gt;&lt;/urls&gt;&lt;/record&gt;&lt;/Cite&gt;&lt;/EndNote&gt;</w:instrText>
      </w:r>
      <w:r w:rsidR="007A3FCF">
        <w:fldChar w:fldCharType="separate"/>
      </w:r>
      <w:r w:rsidR="005972F9" w:rsidRPr="005972F9">
        <w:rPr>
          <w:noProof/>
          <w:vertAlign w:val="superscript"/>
        </w:rPr>
        <w:t>(</w:t>
      </w:r>
      <w:hyperlink w:anchor="_ENREF_7" w:tooltip="Bouchard, 2011 #224" w:history="1">
        <w:r w:rsidR="00FC54EA" w:rsidRPr="005972F9">
          <w:rPr>
            <w:noProof/>
            <w:vertAlign w:val="superscript"/>
          </w:rPr>
          <w:t>7</w:t>
        </w:r>
      </w:hyperlink>
      <w:r w:rsidR="005972F9" w:rsidRPr="005972F9">
        <w:rPr>
          <w:noProof/>
          <w:vertAlign w:val="superscript"/>
        </w:rPr>
        <w:t>)</w:t>
      </w:r>
      <w:r w:rsidR="007A3FCF">
        <w:fldChar w:fldCharType="end"/>
      </w:r>
      <w:r>
        <w:t xml:space="preserve"> </w:t>
      </w:r>
      <w:r w:rsidR="007A3FCF">
        <w:fldChar w:fldCharType="begin"/>
      </w:r>
      <w:r w:rsidR="005972F9">
        <w:instrText xml:space="preserve"> ADDIN EN.CITE &lt;EndNote&gt;&lt;Cite&gt;&lt;Author&gt;Eskenazi&lt;/Author&gt;&lt;Year&gt;2007&lt;/Year&gt;&lt;RecNum&gt;225&lt;/RecNum&gt;&lt;DisplayText&gt;&lt;style face="superscript"&gt;(8)&lt;/style&gt;&lt;/DisplayText&gt;&lt;record&gt;&lt;rec-number&gt;225&lt;/rec-number&gt;&lt;foreign-keys&gt;&lt;key app="EN" db-id="apt5x9twmavw5feppw2p0x27wdvz92ez0va2"&gt;225&lt;/key&gt;&lt;/foreign-keys&gt;&lt;ref-type name="Journal Article"&gt;17&lt;/ref-type&gt;&lt;contributors&gt;&lt;authors&gt;&lt;author&gt;Eskenazi, B, Marks, AR, Bradman, A, Harley, K, Barr, DB, Johnson, C, Morgan, N, Jewell, NP&lt;/author&gt;&lt;/authors&gt;&lt;/contributors&gt;&lt;titles&gt;&lt;title&gt;Organophosphate pesticide exposure and neurodevelopment in young Mexican-American&amp;#xD;children.&lt;/title&gt;&lt;secondary-title&gt;Environmental Health Perspectives&lt;/secondary-title&gt;&lt;/titles&gt;&lt;periodical&gt;&lt;full-title&gt;Environmental Health Perspectives&lt;/full-title&gt;&lt;/periodical&gt;&lt;pages&gt;792-798&lt;/pages&gt;&lt;volume&gt;115&lt;/volume&gt;&lt;section&gt;792&lt;/section&gt;&lt;dates&gt;&lt;year&gt;2007&lt;/year&gt;&lt;/dates&gt;&lt;urls&gt;&lt;/urls&gt;&lt;/record&gt;&lt;/Cite&gt;&lt;/EndNote&gt;</w:instrText>
      </w:r>
      <w:r w:rsidR="007A3FCF">
        <w:fldChar w:fldCharType="separate"/>
      </w:r>
      <w:r w:rsidR="005972F9" w:rsidRPr="005972F9">
        <w:rPr>
          <w:noProof/>
          <w:vertAlign w:val="superscript"/>
        </w:rPr>
        <w:t>(</w:t>
      </w:r>
      <w:hyperlink w:anchor="_ENREF_8" w:tooltip="Eskenazi, 2007 #225" w:history="1">
        <w:r w:rsidR="00FC54EA" w:rsidRPr="005972F9">
          <w:rPr>
            <w:noProof/>
            <w:vertAlign w:val="superscript"/>
          </w:rPr>
          <w:t>8</w:t>
        </w:r>
      </w:hyperlink>
      <w:r w:rsidR="005972F9" w:rsidRPr="005972F9">
        <w:rPr>
          <w:noProof/>
          <w:vertAlign w:val="superscript"/>
        </w:rPr>
        <w:t>)</w:t>
      </w:r>
      <w:r w:rsidR="007A3FCF">
        <w:fldChar w:fldCharType="end"/>
      </w:r>
      <w:r>
        <w:t xml:space="preserve">  indicate</w:t>
      </w:r>
      <w:r w:rsidRPr="003C6AC4">
        <w:t xml:space="preserve"> long term neurodevelopmental effects from exposures </w:t>
      </w:r>
      <w:r w:rsidR="00252A71">
        <w:t>of pregnant women</w:t>
      </w:r>
      <w:r>
        <w:t>.</w:t>
      </w:r>
      <w:r w:rsidRPr="003C6AC4">
        <w:t xml:space="preserve"> </w:t>
      </w:r>
      <w:r>
        <w:t xml:space="preserve"> </w:t>
      </w:r>
      <w:r w:rsidR="00697865">
        <w:t>Furthermore, t</w:t>
      </w:r>
      <w:r w:rsidR="00670BEE">
        <w:t>here is some mechanistic support for the idea that chlorpyrifos can influence neurodevelopmental p</w:t>
      </w:r>
      <w:r w:rsidR="003160E3">
        <w:t xml:space="preserve">rocesses in at least some cases at concentrations </w:t>
      </w:r>
      <w:r w:rsidR="00670BEE">
        <w:t xml:space="preserve">below those needed to produce appreciable inhibition of acetylcholinesterase </w:t>
      </w:r>
      <w:r w:rsidR="003160E3">
        <w:t>enzyme activity</w:t>
      </w:r>
      <w:r w:rsidR="00252A71" w:rsidRPr="00252A71">
        <w:t xml:space="preserve"> </w:t>
      </w:r>
      <w:r w:rsidR="007A3FCF">
        <w:fldChar w:fldCharType="begin">
          <w:fldData xml:space="preserve">PEVuZE5vdGU+PENpdGU+PEF1dGhvcj5TbG90a2luPC9BdXRob3I+PFllYXI+MjAxMjwvWWVhcj48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</w:fldData>
        </w:fldChar>
      </w:r>
      <w:r w:rsidR="00FC54EA">
        <w:instrText xml:space="preserve"> ADDIN EN.CITE </w:instrText>
      </w:r>
      <w:r w:rsidR="007A3FCF">
        <w:fldChar w:fldCharType="begin">
          <w:fldData xml:space="preserve">PEVuZE5vdGU+PENpdGU+PEF1dGhvcj5TbG90a2luPC9BdXRob3I+PFllYXI+MjAxMjwvWWVhcj48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</w:fldData>
        </w:fldChar>
      </w:r>
      <w:r w:rsidR="00FC54EA">
        <w:instrText xml:space="preserve"> ADDIN EN.CITE.DATA </w:instrText>
      </w:r>
      <w:r w:rsidR="007A3FCF">
        <w:fldChar w:fldCharType="end"/>
      </w:r>
      <w:r w:rsidR="007A3FCF">
        <w:fldChar w:fldCharType="separate"/>
      </w:r>
      <w:r w:rsidR="00FC54EA" w:rsidRPr="00FC54EA">
        <w:rPr>
          <w:noProof/>
          <w:vertAlign w:val="superscript"/>
        </w:rPr>
        <w:t>(</w:t>
      </w:r>
      <w:hyperlink w:anchor="_ENREF_9" w:tooltip="Slotkin, 2012 #243" w:history="1">
        <w:r w:rsidR="00FC54EA" w:rsidRPr="00FC54EA">
          <w:rPr>
            <w:noProof/>
            <w:vertAlign w:val="superscript"/>
          </w:rPr>
          <w:t>9</w:t>
        </w:r>
      </w:hyperlink>
      <w:r w:rsidR="00FC54EA" w:rsidRPr="00FC54EA">
        <w:rPr>
          <w:noProof/>
          <w:vertAlign w:val="superscript"/>
        </w:rPr>
        <w:t>)</w:t>
      </w:r>
      <w:r w:rsidR="007A3FCF">
        <w:fldChar w:fldCharType="end"/>
      </w:r>
      <w:r w:rsidR="005A10C0">
        <w:t xml:space="preserve"> and pathways that do not necessarily involve chlorpyrifos oxon formation</w:t>
      </w:r>
      <w:r w:rsidR="00252A71">
        <w:t>.  For example</w:t>
      </w:r>
      <w:r w:rsidR="003160E3">
        <w:t xml:space="preserve"> </w:t>
      </w:r>
      <w:r w:rsidR="00670BEE">
        <w:t xml:space="preserve">inhibition of </w:t>
      </w:r>
      <w:r w:rsidR="003160E3">
        <w:t>axon growth</w:t>
      </w:r>
      <w:r w:rsidR="00670BEE">
        <w:t xml:space="preserve"> in vitro</w:t>
      </w:r>
      <w:r w:rsidR="00BB6C53">
        <w:t xml:space="preserve"> occurred to the same ext</w:t>
      </w:r>
      <w:r w:rsidR="00A7138C">
        <w:t>ent with chlorpyrifos or its oxon, and was observed at concentrations below those where cholin</w:t>
      </w:r>
      <w:r w:rsidR="00B95E87">
        <w:t>esterase inhibition was detected</w:t>
      </w:r>
      <w:r w:rsidR="003160E3">
        <w:t>.</w:t>
      </w:r>
      <w:r w:rsidR="007A3FCF">
        <w:fldChar w:fldCharType="begin">
          <w:fldData xml:space="preserve">PEVuZE5vdGU+PENpdGU+PEF1dGhvcj5ZYW5nPC9BdXRob3I+PFllYXI+MjAwODwvWWVhcj48UmVj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==
</w:fldData>
        </w:fldChar>
      </w:r>
      <w:r w:rsidR="00FC54EA">
        <w:instrText xml:space="preserve"> ADDIN EN.CITE </w:instrText>
      </w:r>
      <w:r w:rsidR="007A3FCF">
        <w:fldChar w:fldCharType="begin">
          <w:fldData xml:space="preserve">PEVuZE5vdGU+PENpdGU+PEF1dGhvcj5ZYW5nPC9BdXRob3I+PFllYXI+MjAwODwvWWVhcj48UmVj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==
</w:fldData>
        </w:fldChar>
      </w:r>
      <w:r w:rsidR="00FC54EA">
        <w:instrText xml:space="preserve"> ADDIN EN.CITE.DATA </w:instrText>
      </w:r>
      <w:r w:rsidR="007A3FCF">
        <w:fldChar w:fldCharType="end"/>
      </w:r>
      <w:r w:rsidR="007A3FCF">
        <w:fldChar w:fldCharType="separate"/>
      </w:r>
      <w:r w:rsidR="00FC54EA" w:rsidRPr="00FC54EA">
        <w:rPr>
          <w:noProof/>
          <w:vertAlign w:val="superscript"/>
        </w:rPr>
        <w:t>(</w:t>
      </w:r>
      <w:hyperlink w:anchor="_ENREF_10" w:tooltip="Yang, 2008 #42" w:history="1">
        <w:r w:rsidR="00FC54EA" w:rsidRPr="00FC54EA">
          <w:rPr>
            <w:noProof/>
            <w:vertAlign w:val="superscript"/>
          </w:rPr>
          <w:t>10</w:t>
        </w:r>
      </w:hyperlink>
      <w:r w:rsidR="00FC54EA" w:rsidRPr="00FC54EA">
        <w:rPr>
          <w:noProof/>
          <w:vertAlign w:val="superscript"/>
        </w:rPr>
        <w:t>)</w:t>
      </w:r>
      <w:r w:rsidR="007A3FCF">
        <w:fldChar w:fldCharType="end"/>
      </w:r>
      <w:r w:rsidR="003160E3">
        <w:t xml:space="preserve"> </w:t>
      </w:r>
      <w:r w:rsidR="00A7138C">
        <w:t xml:space="preserve">The human neurodevelopmental data cited above do not assess cholinesterase but rather focus upon functional endpoints in neonates that are relevant to learning and behavior and thus are relevant to human risk assessment.  </w:t>
      </w:r>
      <w:r w:rsidRPr="003C6AC4">
        <w:t>Th</w:t>
      </w:r>
      <w:r w:rsidR="00030B12">
        <w:t>e present</w:t>
      </w:r>
      <w:r w:rsidR="00F151A6">
        <w:t xml:space="preserve"> paper</w:t>
      </w:r>
      <w:r>
        <w:t xml:space="preserve"> </w:t>
      </w:r>
      <w:r w:rsidR="00A7138C">
        <w:t>evaluates the dose response for two of these endpoints from the Columbia cohort (reduction of working memory and IQ at age 7) in an effort to bring the epidemiological findings into a risk context and inform the</w:t>
      </w:r>
      <w:r w:rsidR="00DB4262">
        <w:t xml:space="preserve"> selection of RfDs and RfCs.</w:t>
      </w:r>
    </w:p>
    <w:p w:rsidR="00CD27F2" w:rsidRDefault="00776B16" w:rsidP="00343DB7">
      <w:pPr>
        <w:pStyle w:val="Body"/>
      </w:pPr>
      <w:r>
        <w:t xml:space="preserve">An important feature of the </w:t>
      </w:r>
      <w:r w:rsidR="00ED18FB">
        <w:t>Columbia University</w:t>
      </w:r>
      <w:r>
        <w:t xml:space="preserve"> observations is that the effects observed are related to an internal biomarker of exposure—blood levels of chlorpyrifos</w:t>
      </w:r>
      <w:r w:rsidR="00635D60">
        <w:t xml:space="preserve"> observed in both</w:t>
      </w:r>
      <w:r w:rsidR="0024117A">
        <w:t xml:space="preserve"> newborns and their mothers shortly after birth</w:t>
      </w:r>
      <w:r>
        <w:t>.</w:t>
      </w:r>
      <w:r w:rsidR="0024117A">
        <w:t xml:space="preserve">  In order to quantitatively use observations of this type i</w:t>
      </w:r>
      <w:r w:rsidR="006A7412">
        <w:t>n consideration of “Reference Doses” or Acceptable Daily Intakes</w:t>
      </w:r>
      <w:r w:rsidR="0024117A">
        <w:t xml:space="preserve">, </w:t>
      </w:r>
      <w:r w:rsidR="00635D60">
        <w:t>it is necessary</w:t>
      </w:r>
      <w:r w:rsidR="0024117A">
        <w:t xml:space="preserve"> to</w:t>
      </w:r>
      <w:r w:rsidR="00B26FA3">
        <w:t xml:space="preserve"> translate these blood levels </w:t>
      </w:r>
      <w:r w:rsidR="0024117A">
        <w:t xml:space="preserve">to estimates of </w:t>
      </w:r>
      <w:r w:rsidR="008B6A9E">
        <w:t xml:space="preserve">long term steady-state </w:t>
      </w:r>
      <w:r w:rsidR="0024117A">
        <w:t>external dose</w:t>
      </w:r>
      <w:r w:rsidR="008B6A9E">
        <w:t>s</w:t>
      </w:r>
      <w:r w:rsidR="0024117A">
        <w:t xml:space="preserve">. </w:t>
      </w:r>
      <w:r w:rsidR="003233EB">
        <w:t xml:space="preserve"> </w:t>
      </w:r>
      <w:r w:rsidR="00091FC5">
        <w:t xml:space="preserve">Some of the women in this cohort received exposures related to the insecticidal spraying of their apartment on a repeated basis during the 1990s, a time when chlorpyrifos was common in household sprays.  Measurements of indoor air in a limited subset of the cohort confirmed that chlorpyrifos was a major indoor contaminant during gestation in these women.  </w:t>
      </w:r>
      <w:r w:rsidR="00B26FA3">
        <w:t>This paper develops blood-level-to-</w:t>
      </w:r>
      <w:r w:rsidR="00091FC5">
        <w:t xml:space="preserve">absorbed </w:t>
      </w:r>
      <w:r w:rsidR="003233EB">
        <w:t>dose translation factors with explicit treatment of the uncertainties in combining information from different sources</w:t>
      </w:r>
      <w:r w:rsidR="006F0A63">
        <w:t>, and then provides a preliminary discussion of implications for risk management choices</w:t>
      </w:r>
      <w:r w:rsidR="003233EB">
        <w:t>.</w:t>
      </w:r>
    </w:p>
    <w:p w:rsidR="00030B12" w:rsidRDefault="00030B12" w:rsidP="00343DB7">
      <w:pPr>
        <w:pStyle w:val="Body"/>
      </w:pPr>
      <w:r>
        <w:t>The standar</w:t>
      </w:r>
      <w:r w:rsidR="003233EB">
        <w:t xml:space="preserve">d approach to developing such </w:t>
      </w:r>
      <w:r w:rsidR="006F0A63">
        <w:t xml:space="preserve">dosimetry </w:t>
      </w:r>
      <w:r>
        <w:t>translation</w:t>
      </w:r>
      <w:r w:rsidR="003233EB">
        <w:t>s is to use</w:t>
      </w:r>
      <w:r>
        <w:t xml:space="preserve"> a physiologically based pharmacokinetic model, ideally calibrated with the aid of human observations of the levels of the in vivo biomarkers</w:t>
      </w:r>
      <w:r w:rsidR="002B16D0">
        <w:t xml:space="preserve"> over time following known external </w:t>
      </w:r>
      <w:r>
        <w:t xml:space="preserve">exposures to the toxicant.  </w:t>
      </w:r>
      <w:r w:rsidR="00807179">
        <w:t xml:space="preserve">However in this case there are unusual complications. </w:t>
      </w:r>
      <w:r w:rsidR="00AB1905">
        <w:t xml:space="preserve">Because of perceived deficiencies in the procedures used to obtain informed consent, EPA has concluded that it is barred from using the more recent (late 1990s) Kisicki </w:t>
      </w:r>
      <w:r w:rsidR="007A3FCF">
        <w:fldChar w:fldCharType="begin"/>
      </w:r>
      <w:r w:rsidR="00FC54EA">
        <w:instrText xml:space="preserve"> ADDIN EN.CITE &lt;EndNote&gt;&lt;Cite&gt;&lt;Author&gt;Kisicki&lt;/Author&gt;&lt;Year&gt;1999&lt;/Year&gt;&lt;RecNum&gt;207&lt;/RecNum&gt;&lt;DisplayText&gt;&lt;style face="superscript"&gt;(11)&lt;/style&gt;&lt;/DisplayText&gt;&lt;record&gt;&lt;rec-number&gt;207&lt;/rec-number&gt;&lt;foreign-keys&gt;&lt;key app="EN" db-id="xftvffafmwpe0fedf055pwp7ts95t0ta0v0a"&gt;207&lt;/key&gt;&lt;/foreign-keys&gt;&lt;ref-type name="Report"&gt;27&lt;/ref-type&gt;&lt;contributors&gt;&lt;authors&gt;&lt;author&gt;Kisicki, JC, Seip, CW, Combs, ML&lt;/author&gt;&lt;/authors&gt;&lt;/contributors&gt;&lt;titles&gt;&lt;title&gt;A rising dose toxicology study to determine the no-observable-effect-levels (for erthyrocyte acetylcholinesterase (AChE) inhibition and cholinergic signs and symptoms of chlorpyrifos at three dose levels.&lt;/title&gt;&lt;/titles&gt;&lt;dates&gt;&lt;year&gt;1999&lt;/year&gt;&lt;pub-dates&gt;&lt;date&gt;April 18, 1999&lt;/date&gt;&lt;/pub-dates&gt;&lt;/dates&gt;&lt;publisher&gt;MDC Harris Laboratory, Lincoln Nebraska&lt;/publisher&gt;&lt;isbn&gt;MRID No.: 44811002.&lt;/isbn&gt;&lt;urls&gt;&lt;/urls&gt;&lt;/record&gt;&lt;/Cite&gt;&lt;/EndNote&gt;</w:instrText>
      </w:r>
      <w:r w:rsidR="007A3FCF">
        <w:fldChar w:fldCharType="separate"/>
      </w:r>
      <w:r w:rsidR="00FC54EA" w:rsidRPr="00FC54EA">
        <w:rPr>
          <w:noProof/>
          <w:vertAlign w:val="superscript"/>
        </w:rPr>
        <w:t>(</w:t>
      </w:r>
      <w:hyperlink w:anchor="_ENREF_11" w:tooltip="Kisicki, 1999 #207" w:history="1">
        <w:r w:rsidR="00FC54EA" w:rsidRPr="00FC54EA">
          <w:rPr>
            <w:noProof/>
            <w:vertAlign w:val="superscript"/>
          </w:rPr>
          <w:t>11</w:t>
        </w:r>
      </w:hyperlink>
      <w:r w:rsidR="00FC54EA" w:rsidRPr="00FC54EA">
        <w:rPr>
          <w:noProof/>
          <w:vertAlign w:val="superscript"/>
        </w:rPr>
        <w:t>)</w:t>
      </w:r>
      <w:r w:rsidR="007A3FCF">
        <w:fldChar w:fldCharType="end"/>
      </w:r>
      <w:r w:rsidR="00AB1905" w:rsidRPr="00DF1BE9">
        <w:t xml:space="preserve"> </w:t>
      </w:r>
      <w:r w:rsidR="00AB1905">
        <w:t xml:space="preserve">observations of blood levels in relation to known oral doses of chlorpyrifos </w:t>
      </w:r>
      <w:r w:rsidR="00AB1905">
        <w:rPr>
          <w:rFonts w:cs="Times New Roman"/>
          <w:color w:val="000000"/>
        </w:rPr>
        <w:t xml:space="preserve">(J.Carley memo dated 5/29/09; </w:t>
      </w:r>
      <w:hyperlink r:id="rId7" w:history="1">
        <w:r w:rsidR="00AB1905" w:rsidRPr="00F72E37">
          <w:rPr>
            <w:rStyle w:val="Hyperlink"/>
            <w:rFonts w:cs="Times New Roman"/>
          </w:rPr>
          <w:t>http://www.epa.gov/hsrb/files/1d6-ethics-rvw-kisicki-etal-060109.pdf</w:t>
        </w:r>
      </w:hyperlink>
      <w:r w:rsidR="00AB1905">
        <w:rPr>
          <w:rFonts w:cs="Times New Roman"/>
          <w:color w:val="000000"/>
        </w:rPr>
        <w:t xml:space="preserve">).  Therefore </w:t>
      </w:r>
      <w:r w:rsidR="00807179">
        <w:rPr>
          <w:rFonts w:cs="Times New Roman"/>
          <w:color w:val="000000"/>
        </w:rPr>
        <w:t>it is desirable</w:t>
      </w:r>
      <w:r w:rsidR="00AB1905">
        <w:rPr>
          <w:rFonts w:cs="Times New Roman"/>
          <w:color w:val="000000"/>
        </w:rPr>
        <w:t xml:space="preserve"> to develop estimate</w:t>
      </w:r>
      <w:r w:rsidR="00776C63">
        <w:rPr>
          <w:rFonts w:cs="Times New Roman"/>
          <w:color w:val="000000"/>
        </w:rPr>
        <w:t>s of the blood to external dose</w:t>
      </w:r>
      <w:r w:rsidR="00AB1905">
        <w:rPr>
          <w:rFonts w:cs="Times New Roman"/>
          <w:color w:val="000000"/>
        </w:rPr>
        <w:t xml:space="preserve"> translation factors with and without dependence on this source of information</w:t>
      </w:r>
      <w:r w:rsidR="00807179">
        <w:rPr>
          <w:rFonts w:cs="Times New Roman"/>
          <w:color w:val="000000"/>
        </w:rPr>
        <w:t>.  The</w:t>
      </w:r>
      <w:r w:rsidR="00B56362">
        <w:rPr>
          <w:rFonts w:cs="Times New Roman"/>
          <w:color w:val="000000"/>
        </w:rPr>
        <w:t xml:space="preserve"> difficulty is </w:t>
      </w:r>
      <w:r w:rsidR="00807179">
        <w:rPr>
          <w:rFonts w:cs="Times New Roman"/>
          <w:color w:val="000000"/>
        </w:rPr>
        <w:t xml:space="preserve">compounded because </w:t>
      </w:r>
      <w:r w:rsidR="00B56362">
        <w:rPr>
          <w:rFonts w:cs="Times New Roman"/>
          <w:color w:val="000000"/>
        </w:rPr>
        <w:t xml:space="preserve">there is an appreciable but unexplained quantitative inconsistency between the blood levels observed in </w:t>
      </w:r>
      <w:r w:rsidR="00F04DCA">
        <w:rPr>
          <w:rFonts w:cs="Times New Roman"/>
          <w:color w:val="000000"/>
        </w:rPr>
        <w:t>these Kisicki data in relation to chlorpyrifos</w:t>
      </w:r>
      <w:r w:rsidR="00B56362">
        <w:rPr>
          <w:rFonts w:cs="Times New Roman"/>
          <w:color w:val="000000"/>
        </w:rPr>
        <w:t xml:space="preserve"> </w:t>
      </w:r>
      <w:r w:rsidR="006E1943">
        <w:rPr>
          <w:rFonts w:cs="Times New Roman"/>
          <w:color w:val="000000"/>
        </w:rPr>
        <w:t xml:space="preserve">dosing </w:t>
      </w:r>
      <w:r w:rsidR="00B56362">
        <w:rPr>
          <w:rFonts w:cs="Times New Roman"/>
          <w:color w:val="000000"/>
        </w:rPr>
        <w:t xml:space="preserve">and an older set of observations made by </w:t>
      </w:r>
      <w:r w:rsidR="006F0A63">
        <w:rPr>
          <w:rFonts w:cs="Times New Roman"/>
          <w:color w:val="000000"/>
        </w:rPr>
        <w:t>Nolan and coworkers</w:t>
      </w:r>
      <w:r w:rsidR="00B56362">
        <w:rPr>
          <w:rFonts w:cs="Times New Roman"/>
          <w:color w:val="000000"/>
        </w:rPr>
        <w:t xml:space="preserve"> in the early 1980s.</w:t>
      </w:r>
      <w:r w:rsidR="005A4B39" w:rsidRPr="005A4B39">
        <w:t xml:space="preserve"> </w:t>
      </w:r>
      <w:r w:rsidR="007A3FCF">
        <w:rPr>
          <w:rFonts w:cs="Times New Roman"/>
          <w:color w:val="000000"/>
        </w:rPr>
        <w:fldChar w:fldCharType="begin"/>
      </w:r>
      <w:r w:rsidR="00FC54EA">
        <w:rPr>
          <w:rFonts w:cs="Times New Roman"/>
          <w:color w:val="000000"/>
        </w:rPr>
        <w:instrText xml:space="preserve"> ADDIN EN.CITE &lt;EndNote&gt;&lt;Cite&gt;&lt;Author&gt;Nolan&lt;/Author&gt;&lt;Year&gt;1984&lt;/Year&gt;&lt;RecNum&gt;197&lt;/RecNum&gt;&lt;DisplayText&gt;&lt;style face="superscript"&gt;(12)&lt;/style&gt;&lt;/DisplayText&gt;&lt;record&gt;&lt;rec-number&gt;197&lt;/rec-number&gt;&lt;foreign-keys&gt;&lt;key app="EN" db-id="xftvffafmwpe0fedf055pwp7ts95t0ta0v0a"&gt;197&lt;/key&gt;&lt;/foreign-keys&gt;&lt;ref-type name="Journal Article"&gt;17&lt;/ref-type&gt;&lt;contributors&gt;&lt;authors&gt;&lt;author&gt;Nolan, R. J.&lt;/author&gt;&lt;author&gt;Rick, D. L.&lt;/author&gt;&lt;author&gt;Freshour, N. L.&lt;/author&gt;&lt;author&gt;Saunders, J. H.&lt;/author&gt;&lt;/authors&gt;&lt;/contributors&gt;&lt;titles&gt;&lt;title&gt;Chlorpyrifos: pharmacokinetics in human volunteers&lt;/title&gt;&lt;secondary-title&gt;Toxicol Appl Pharmacol&lt;/secondary-title&gt;&lt;/titles&gt;&lt;periodical&gt;&lt;full-title&gt;Toxicol Appl Pharmacol&lt;/full-title&gt;&lt;/periodical&gt;&lt;pages&gt;8-15&lt;/pages&gt;&lt;volume&gt;73&lt;/volume&gt;&lt;number&gt;1&lt;/number&gt;&lt;edition&gt;1984/03/30&lt;/edition&gt;&lt;keywords&gt;&lt;keyword&gt;Administration, Oral&lt;/keyword&gt;&lt;keyword&gt;Adult&lt;/keyword&gt;&lt;keyword&gt;Chlorpyrifos/blood/*metabolism/urine&lt;/keyword&gt;&lt;keyword&gt;Cholinesterases/blood&lt;/keyword&gt;&lt;keyword&gt;Erythrocytes/enzymology&lt;/keyword&gt;&lt;keyword&gt;Humans&lt;/keyword&gt;&lt;keyword&gt;Intestinal Absorption&lt;/keyword&gt;&lt;keyword&gt;Kinetics&lt;/keyword&gt;&lt;keyword&gt;Male&lt;/keyword&gt;&lt;keyword&gt;Middle Aged&lt;/keyword&gt;&lt;keyword&gt;Skin Absorption&lt;/keyword&gt;&lt;/keywords&gt;&lt;dates&gt;&lt;year&gt;1984&lt;/year&gt;&lt;pub-dates&gt;&lt;date&gt;Mar 30&lt;/date&gt;&lt;/pub-dates&gt;&lt;/dates&gt;&lt;isbn&gt;0041-008X (Print)&amp;#xD;0041-008X (Linking)&lt;/isbn&gt;&lt;accession-num&gt;6200956&lt;/accession-num&gt;&lt;urls&gt;&lt;related-urls&gt;&lt;url&gt;http://www.ncbi.nlm.nih.gov/entrez/query.fcgi?cmd=Retrieve&amp;amp;db=PubMed&amp;amp;dopt=Citation&amp;amp;list_uids=6200956&lt;/url&gt;&lt;/related-urls&gt;&lt;/urls&gt;&lt;language&gt;eng&lt;/language&gt;&lt;/record&gt;&lt;/Cite&gt;&lt;/EndNote&gt;</w:instrText>
      </w:r>
      <w:r w:rsidR="007A3FCF">
        <w:rPr>
          <w:rFonts w:cs="Times New Roman"/>
          <w:color w:val="000000"/>
        </w:rPr>
        <w:fldChar w:fldCharType="separate"/>
      </w:r>
      <w:r w:rsidR="00FC54EA" w:rsidRPr="00FC54EA">
        <w:rPr>
          <w:rFonts w:cs="Times New Roman"/>
          <w:noProof/>
          <w:color w:val="000000"/>
          <w:vertAlign w:val="superscript"/>
        </w:rPr>
        <w:t>(</w:t>
      </w:r>
      <w:hyperlink w:anchor="_ENREF_12" w:tooltip="Nolan, 1984 #197" w:history="1">
        <w:r w:rsidR="00FC54EA" w:rsidRPr="00FC54EA">
          <w:rPr>
            <w:rFonts w:cs="Times New Roman"/>
            <w:noProof/>
            <w:color w:val="000000"/>
            <w:vertAlign w:val="superscript"/>
          </w:rPr>
          <w:t>12</w:t>
        </w:r>
      </w:hyperlink>
      <w:r w:rsidR="00FC54EA" w:rsidRPr="00FC54EA">
        <w:rPr>
          <w:rFonts w:cs="Times New Roman"/>
          <w:noProof/>
          <w:color w:val="000000"/>
          <w:vertAlign w:val="superscript"/>
        </w:rPr>
        <w:t>)</w:t>
      </w:r>
      <w:r w:rsidR="007A3FCF">
        <w:rPr>
          <w:rFonts w:cs="Times New Roman"/>
          <w:color w:val="000000"/>
        </w:rPr>
        <w:fldChar w:fldCharType="end"/>
      </w:r>
      <w:r w:rsidR="002C33DD">
        <w:rPr>
          <w:rFonts w:cs="Times New Roman"/>
          <w:color w:val="000000"/>
        </w:rPr>
        <w:t xml:space="preserve"> </w:t>
      </w:r>
      <w:r w:rsidR="00807179">
        <w:rPr>
          <w:rFonts w:cs="Times New Roman"/>
          <w:color w:val="000000"/>
        </w:rPr>
        <w:t xml:space="preserve">Thus the use of the Kisicki data requires making choices for resolving that inconsistency, in </w:t>
      </w:r>
      <w:r w:rsidR="00807179">
        <w:rPr>
          <w:rFonts w:cs="Times New Roman"/>
          <w:color w:val="000000"/>
        </w:rPr>
        <w:lastRenderedPageBreak/>
        <w:t>addition to the usual needs to make many small choices to address incompleteness in data sets and the translation of information developed in different settings.</w:t>
      </w:r>
    </w:p>
    <w:p w:rsidR="00F151A6" w:rsidRDefault="00AB1905" w:rsidP="00343DB7">
      <w:pPr>
        <w:pStyle w:val="Body"/>
      </w:pPr>
      <w:r>
        <w:t>A Bayesian</w:t>
      </w:r>
      <w:r w:rsidR="008A72EC">
        <w:t>-inspired</w:t>
      </w:r>
      <w:r>
        <w:t xml:space="preserve"> analytical framework is well suited to the task of developing uncertainty</w:t>
      </w:r>
      <w:r w:rsidR="00B56362">
        <w:t xml:space="preserve"> distributions based on inputs of different sets of information.  </w:t>
      </w:r>
      <w:r w:rsidR="004F771E">
        <w:t xml:space="preserve">(See, for example, Bedford and Cooke </w:t>
      </w:r>
      <w:r w:rsidR="007A3FCF">
        <w:fldChar w:fldCharType="begin"/>
      </w:r>
      <w:r w:rsidR="00FC54EA">
        <w:instrText xml:space="preserve"> ADDIN EN.CITE &lt;EndNote&gt;&lt;Cite&gt;&lt;Author&gt;Bedford&lt;/Author&gt;&lt;Year&gt;2001&lt;/Year&gt;&lt;RecNum&gt;234&lt;/RecNum&gt;&lt;DisplayText&gt;&lt;style face="superscript"&gt;(13)&lt;/style&gt;&lt;/DisplayText&gt;&lt;record&gt;&lt;rec-number&gt;234&lt;/rec-number&gt;&lt;foreign-keys&gt;&lt;key app="EN" db-id="apt5x9twmavw5feppw2p0x27wdvz92ez0va2"&gt;234&lt;/key&gt;&lt;/foreign-keys&gt;&lt;ref-type name="Book"&gt;6&lt;/ref-type&gt;&lt;contributors&gt;&lt;authors&gt;&lt;author&gt;Bedford, T, Cooke, R&lt;/author&gt;&lt;/authors&gt;&lt;/contributors&gt;&lt;titles&gt;&lt;title&gt;Probabilistic Risk Analysis:  Foundations and Methods&lt;/title&gt;&lt;/titles&gt;&lt;dates&gt;&lt;year&gt;2001&lt;/year&gt;&lt;/dates&gt;&lt;pub-location&gt;Cambridge, UK&lt;/pub-location&gt;&lt;publisher&gt;Cambridge University Press&lt;/publisher&gt;&lt;urls&gt;&lt;/urls&gt;&lt;/record&gt;&lt;/Cite&gt;&lt;/EndNote&gt;</w:instrText>
      </w:r>
      <w:r w:rsidR="007A3FCF">
        <w:fldChar w:fldCharType="separate"/>
      </w:r>
      <w:r w:rsidR="00FC54EA" w:rsidRPr="00FC54EA">
        <w:rPr>
          <w:noProof/>
          <w:vertAlign w:val="superscript"/>
        </w:rPr>
        <w:t>(</w:t>
      </w:r>
      <w:hyperlink w:anchor="_ENREF_13" w:tooltip="Bedford, 2001 #234" w:history="1">
        <w:r w:rsidR="00FC54EA" w:rsidRPr="00FC54EA">
          <w:rPr>
            <w:noProof/>
            <w:vertAlign w:val="superscript"/>
          </w:rPr>
          <w:t>13</w:t>
        </w:r>
      </w:hyperlink>
      <w:r w:rsidR="00FC54EA" w:rsidRPr="00FC54EA">
        <w:rPr>
          <w:noProof/>
          <w:vertAlign w:val="superscript"/>
        </w:rPr>
        <w:t>)</w:t>
      </w:r>
      <w:r w:rsidR="007A3FCF">
        <w:fldChar w:fldCharType="end"/>
      </w:r>
      <w:r w:rsidR="009E5BE4">
        <w:t>.  Also, with differing perspectives, Gelman et al.,</w:t>
      </w:r>
      <w:r w:rsidR="00741386" w:rsidRPr="00741386">
        <w:t xml:space="preserve"> </w:t>
      </w:r>
      <w:r w:rsidR="007A3FCF">
        <w:fldChar w:fldCharType="begin"/>
      </w:r>
      <w:r w:rsidR="00FC54EA">
        <w:instrText xml:space="preserve"> ADDIN EN.CITE &lt;EndNote&gt;&lt;Cite&gt;&lt;Author&gt;Gelman&lt;/Author&gt;&lt;Year&gt;2004&lt;/Year&gt;&lt;RecNum&gt;235&lt;/RecNum&gt;&lt;DisplayText&gt;&lt;style face="superscript"&gt;(14)&lt;/style&gt;&lt;/DisplayText&gt;&lt;record&gt;&lt;rec-number&gt;235&lt;/rec-number&gt;&lt;foreign-keys&gt;&lt;key app="EN" db-id="apt5x9twmavw5feppw2p0x27wdvz92ez0va2"&gt;235&lt;/key&gt;&lt;/foreign-keys&gt;&lt;ref-type name="Book"&gt;6&lt;/ref-type&gt;&lt;contributors&gt;&lt;authors&gt;&lt;author&gt;Gelman, A, Carlin, J, Stern, H, Rubin D&lt;/author&gt;&lt;/authors&gt;&lt;/contributors&gt;&lt;titles&gt;&lt;title&gt;Bayesian Data Analysis, 2nd Edition&lt;/title&gt;&lt;/titles&gt;&lt;dates&gt;&lt;year&gt;2004&lt;/year&gt;&lt;/dates&gt;&lt;pub-location&gt;Boca Raton, FL&lt;/pub-location&gt;&lt;publisher&gt;Chapman and Hall/CRC Press&lt;/publisher&gt;&lt;urls&gt;&lt;/urls&gt;&lt;/record&gt;&lt;/Cite&gt;&lt;/EndNote&gt;</w:instrText>
      </w:r>
      <w:r w:rsidR="007A3FCF">
        <w:fldChar w:fldCharType="separate"/>
      </w:r>
      <w:r w:rsidR="00FC54EA" w:rsidRPr="00FC54EA">
        <w:rPr>
          <w:noProof/>
          <w:vertAlign w:val="superscript"/>
        </w:rPr>
        <w:t>(</w:t>
      </w:r>
      <w:hyperlink w:anchor="_ENREF_14" w:tooltip="Gelman, 2004 #235" w:history="1">
        <w:r w:rsidR="00FC54EA" w:rsidRPr="00FC54EA">
          <w:rPr>
            <w:noProof/>
            <w:vertAlign w:val="superscript"/>
          </w:rPr>
          <w:t>14</w:t>
        </w:r>
      </w:hyperlink>
      <w:r w:rsidR="00FC54EA" w:rsidRPr="00FC54EA">
        <w:rPr>
          <w:noProof/>
          <w:vertAlign w:val="superscript"/>
        </w:rPr>
        <w:t>)</w:t>
      </w:r>
      <w:r w:rsidR="007A3FCF">
        <w:fldChar w:fldCharType="end"/>
      </w:r>
      <w:r w:rsidR="009E5BE4">
        <w:t xml:space="preserve">, and Robert </w:t>
      </w:r>
      <w:r w:rsidR="007A3FCF">
        <w:fldChar w:fldCharType="begin"/>
      </w:r>
      <w:r w:rsidR="00FC54EA">
        <w:instrText xml:space="preserve"> ADDIN EN.CITE &lt;EndNote&gt;&lt;Cite&gt;&lt;Author&gt;Robert&lt;/Author&gt;&lt;Year&gt;2007&lt;/Year&gt;&lt;RecNum&gt;236&lt;/RecNum&gt;&lt;DisplayText&gt;&lt;style face="superscript"&gt;(15)&lt;/style&gt;&lt;/DisplayText&gt;&lt;record&gt;&lt;rec-number&gt;236&lt;/rec-number&gt;&lt;foreign-keys&gt;&lt;key app="EN" db-id="apt5x9twmavw5feppw2p0x27wdvz92ez0va2"&gt;236&lt;/key&gt;&lt;/foreign-keys&gt;&lt;ref-type name="Book"&gt;6&lt;/ref-type&gt;&lt;contributors&gt;&lt;authors&gt;&lt;author&gt;Robert, CP&lt;/author&gt;&lt;/authors&gt;&lt;/contributors&gt;&lt;titles&gt;&lt;title&gt;The Bayesian Choice, 2nd Edition&lt;/title&gt;&lt;/titles&gt;&lt;dates&gt;&lt;year&gt;2007&lt;/year&gt;&lt;/dates&gt;&lt;pub-location&gt;New York, NY&lt;/pub-location&gt;&lt;publisher&gt;Springer&lt;/publisher&gt;&lt;urls&gt;&lt;/urls&gt;&lt;/record&gt;&lt;/Cite&gt;&lt;/EndNote&gt;</w:instrText>
      </w:r>
      <w:r w:rsidR="007A3FCF">
        <w:fldChar w:fldCharType="separate"/>
      </w:r>
      <w:r w:rsidR="00FC54EA" w:rsidRPr="00FC54EA">
        <w:rPr>
          <w:noProof/>
          <w:vertAlign w:val="superscript"/>
        </w:rPr>
        <w:t>(</w:t>
      </w:r>
      <w:hyperlink w:anchor="_ENREF_15" w:tooltip="Robert, 2007 #236" w:history="1">
        <w:r w:rsidR="00FC54EA" w:rsidRPr="00FC54EA">
          <w:rPr>
            <w:noProof/>
            <w:vertAlign w:val="superscript"/>
          </w:rPr>
          <w:t>15</w:t>
        </w:r>
      </w:hyperlink>
      <w:r w:rsidR="00FC54EA" w:rsidRPr="00FC54EA">
        <w:rPr>
          <w:noProof/>
          <w:vertAlign w:val="superscript"/>
        </w:rPr>
        <w:t>)</w:t>
      </w:r>
      <w:r w:rsidR="007A3FCF">
        <w:fldChar w:fldCharType="end"/>
      </w:r>
      <w:r w:rsidR="004F771E">
        <w:t>)</w:t>
      </w:r>
      <w:r w:rsidR="006D237B">
        <w:t xml:space="preserve">. </w:t>
      </w:r>
      <w:r w:rsidR="00F151A6">
        <w:t>Our analysis of the</w:t>
      </w:r>
      <w:r w:rsidR="00CD27F2">
        <w:t xml:space="preserve"> uncertainty distribution for the</w:t>
      </w:r>
      <w:r w:rsidR="00F151A6">
        <w:t xml:space="preserve"> </w:t>
      </w:r>
      <w:r w:rsidR="002B16D0">
        <w:t xml:space="preserve">low dose </w:t>
      </w:r>
      <w:r w:rsidR="00F151A6">
        <w:t>blood/external air translation factor draw</w:t>
      </w:r>
      <w:r w:rsidR="00B97485">
        <w:t>s on</w:t>
      </w:r>
      <w:r w:rsidR="00F151A6">
        <w:t>:</w:t>
      </w:r>
    </w:p>
    <w:p w:rsidR="00F151A6" w:rsidRDefault="00CD27F2" w:rsidP="00F151A6">
      <w:pPr>
        <w:pStyle w:val="Body"/>
        <w:numPr>
          <w:ilvl w:val="0"/>
          <w:numId w:val="3"/>
        </w:numPr>
      </w:pPr>
      <w:r>
        <w:t xml:space="preserve">A “prior” lognormal uncertainty distribution </w:t>
      </w:r>
      <w:r w:rsidR="00530B7C">
        <w:t>constructed</w:t>
      </w:r>
      <w:r>
        <w:t xml:space="preserve"> </w:t>
      </w:r>
      <w:r w:rsidR="00E15EA6">
        <w:t>by using measured air exposures</w:t>
      </w:r>
      <w:r>
        <w:t xml:space="preserve"> </w:t>
      </w:r>
      <w:r w:rsidR="00E15EA6">
        <w:t>and measured urinary metabolite excretion for the Columbia cohort women in relation to observed blood levels to bound the range of plausible blood/external air translation factors.</w:t>
      </w:r>
    </w:p>
    <w:p w:rsidR="00E15EA6" w:rsidRDefault="00603638" w:rsidP="00F151A6">
      <w:pPr>
        <w:pStyle w:val="Body"/>
        <w:numPr>
          <w:ilvl w:val="0"/>
          <w:numId w:val="3"/>
        </w:numPr>
      </w:pPr>
      <w:r>
        <w:t>R</w:t>
      </w:r>
      <w:r w:rsidR="00E15EA6">
        <w:t>esults of runs of a physiologically based pharmacokinetic model derived by Timchalk,</w:t>
      </w:r>
      <w:r w:rsidR="00006147" w:rsidRPr="00006147">
        <w:t xml:space="preserve"> </w:t>
      </w:r>
      <w:r w:rsidR="007A3FCF">
        <w:fldChar w:fldCharType="begin"/>
      </w:r>
      <w:r w:rsidR="00FC54EA">
        <w:instrText xml:space="preserve"> ADDIN EN.CITE &lt;EndNote&gt;&lt;Cite&gt;&lt;Author&gt;Timchalk&lt;/Author&gt;&lt;Year&gt;2008&lt;/Year&gt;&lt;RecNum&gt;202&lt;/RecNum&gt;&lt;DisplayText&gt;&lt;style face="superscript"&gt;(16)&lt;/style&gt;&lt;/DisplayText&gt;&lt;record&gt;&lt;rec-number&gt;202&lt;/rec-number&gt;&lt;foreign-keys&gt;&lt;key app="EN" db-id="xftvffafmwpe0fedf055pwp7ts95t0ta0v0a"&gt;202&lt;/key&gt;&lt;/foreign-keys&gt;&lt;ref-type name="Report"&gt;27&lt;/ref-type&gt;&lt;contributors&gt;&lt;authors&gt;&lt;author&gt;Timchalk, C.&lt;/author&gt;&lt;/authors&gt;&lt;/contributors&gt;&lt;titles&gt;&lt;title&gt;PBPK/PD Model Simulation of Dosimetry for Chlorpyrifos following Inhalation Exposure&lt;/title&gt;&lt;/titles&gt;&lt;dates&gt;&lt;year&gt;2008&lt;/year&gt;&lt;pub-dates&gt;&lt;date&gt;August 28, 2008&lt;/date&gt;&lt;/pub-dates&gt;&lt;/dates&gt;&lt;publisher&gt;Center for Biological Monitoring &amp;amp; Modeling, Battelle&lt;/publisher&gt;&lt;urls&gt;&lt;/urls&gt;&lt;/record&gt;&lt;/Cite&gt;&lt;/EndNote&gt;</w:instrText>
      </w:r>
      <w:r w:rsidR="007A3FCF">
        <w:fldChar w:fldCharType="separate"/>
      </w:r>
      <w:r w:rsidR="00FC54EA" w:rsidRPr="00FC54EA">
        <w:rPr>
          <w:noProof/>
          <w:vertAlign w:val="superscript"/>
        </w:rPr>
        <w:t>(</w:t>
      </w:r>
      <w:hyperlink w:anchor="_ENREF_16" w:tooltip="Timchalk, 2008 #202" w:history="1">
        <w:r w:rsidR="00FC54EA" w:rsidRPr="00FC54EA">
          <w:rPr>
            <w:noProof/>
            <w:vertAlign w:val="superscript"/>
          </w:rPr>
          <w:t>16</w:t>
        </w:r>
      </w:hyperlink>
      <w:r w:rsidR="00FC54EA" w:rsidRPr="00FC54EA">
        <w:rPr>
          <w:noProof/>
          <w:vertAlign w:val="superscript"/>
        </w:rPr>
        <w:t>)</w:t>
      </w:r>
      <w:r w:rsidR="007A3FCF">
        <w:fldChar w:fldCharType="end"/>
      </w:r>
      <w:r w:rsidR="00E15EA6">
        <w:t xml:space="preserve"> </w:t>
      </w:r>
      <w:r>
        <w:t>recalibrated</w:t>
      </w:r>
      <w:r w:rsidR="006062B3">
        <w:t xml:space="preserve"> using</w:t>
      </w:r>
      <w:r>
        <w:t xml:space="preserve"> r</w:t>
      </w:r>
      <w:r w:rsidR="00793E8F">
        <w:t>ecently published in vitro human metabolism data</w:t>
      </w:r>
      <w:r w:rsidR="00793E8F" w:rsidRPr="008E6952">
        <w:t xml:space="preserve"> </w:t>
      </w:r>
      <w:r w:rsidR="007A3FCF">
        <w:fldChar w:fldCharType="begin">
          <w:fldData xml:space="preserve">PEVuZE5vdGU+PENpdGU+PEF1dGhvcj5TbWl0aDwvQXV0aG9yPjxZZWFyPjIwMTE8L1llYXI+PFJl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</w:fldData>
        </w:fldChar>
      </w:r>
      <w:r w:rsidR="00FC54EA">
        <w:instrText xml:space="preserve"> ADDIN EN.CITE </w:instrText>
      </w:r>
      <w:r w:rsidR="007A3FCF">
        <w:fldChar w:fldCharType="begin">
          <w:fldData xml:space="preserve">PEVuZE5vdGU+PENpdGU+PEF1dGhvcj5TbWl0aDwvQXV0aG9yPjxZZWFyPjIwMTE8L1llYXI+PFJl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</w:fldData>
        </w:fldChar>
      </w:r>
      <w:r w:rsidR="00FC54EA">
        <w:instrText xml:space="preserve"> ADDIN EN.CITE.DATA </w:instrText>
      </w:r>
      <w:r w:rsidR="007A3FCF">
        <w:fldChar w:fldCharType="end"/>
      </w:r>
      <w:r w:rsidR="007A3FCF">
        <w:fldChar w:fldCharType="separate"/>
      </w:r>
      <w:r w:rsidR="00FC54EA" w:rsidRPr="00FC54EA">
        <w:rPr>
          <w:noProof/>
          <w:vertAlign w:val="superscript"/>
        </w:rPr>
        <w:t>(</w:t>
      </w:r>
      <w:hyperlink w:anchor="_ENREF_17" w:tooltip="Smith, 2011 #4" w:history="1">
        <w:r w:rsidR="00FC54EA" w:rsidRPr="00FC54EA">
          <w:rPr>
            <w:noProof/>
            <w:vertAlign w:val="superscript"/>
          </w:rPr>
          <w:t>17</w:t>
        </w:r>
      </w:hyperlink>
      <w:r w:rsidR="00FC54EA" w:rsidRPr="00FC54EA">
        <w:rPr>
          <w:noProof/>
          <w:vertAlign w:val="superscript"/>
        </w:rPr>
        <w:t>)</w:t>
      </w:r>
      <w:r w:rsidR="007A3FCF">
        <w:fldChar w:fldCharType="end"/>
      </w:r>
      <w:r>
        <w:t xml:space="preserve"> </w:t>
      </w:r>
      <w:r w:rsidR="00793E8F">
        <w:t>.</w:t>
      </w:r>
    </w:p>
    <w:p w:rsidR="00E15EA6" w:rsidRDefault="00E15EA6" w:rsidP="00F151A6">
      <w:pPr>
        <w:pStyle w:val="Body"/>
        <w:numPr>
          <w:ilvl w:val="0"/>
          <w:numId w:val="3"/>
        </w:numPr>
      </w:pPr>
      <w:r>
        <w:t xml:space="preserve">Two mutually contradictory sets of results of direct human oral exposure studies, done in the early 1980s </w:t>
      </w:r>
      <w:r w:rsidR="005B066F">
        <w:t>by Nolan et al.</w:t>
      </w:r>
      <w:r w:rsidR="00006147" w:rsidRPr="00006147">
        <w:t xml:space="preserve"> </w:t>
      </w:r>
      <w:r w:rsidR="007A3FCF">
        <w:fldChar w:fldCharType="begin"/>
      </w:r>
      <w:r w:rsidR="00FC54EA">
        <w:instrText xml:space="preserve"> ADDIN EN.CITE &lt;EndNote&gt;&lt;Cite&gt;&lt;Author&gt;Nolan&lt;/Author&gt;&lt;Year&gt;1984&lt;/Year&gt;&lt;RecNum&gt;197&lt;/RecNum&gt;&lt;DisplayText&gt;&lt;style face="superscript"&gt;(12)&lt;/style&gt;&lt;/DisplayText&gt;&lt;record&gt;&lt;rec-number&gt;197&lt;/rec-number&gt;&lt;foreign-keys&gt;&lt;key app="EN" db-id="xftvffafmwpe0fedf055pwp7ts95t0ta0v0a"&gt;197&lt;/key&gt;&lt;/foreign-keys&gt;&lt;ref-type name="Journal Article"&gt;17&lt;/ref-type&gt;&lt;contributors&gt;&lt;authors&gt;&lt;author&gt;Nolan, R. J.&lt;/author&gt;&lt;author&gt;Rick, D. L.&lt;/author&gt;&lt;author&gt;Freshour, N. L.&lt;/author&gt;&lt;author&gt;Saunders, J. H.&lt;/author&gt;&lt;/authors&gt;&lt;/contributors&gt;&lt;titles&gt;&lt;title&gt;Chlorpyrifos: pharmacokinetics in human volunteers&lt;/title&gt;&lt;secondary-title&gt;Toxicol Appl Pharmacol&lt;/secondary-title&gt;&lt;/titles&gt;&lt;periodical&gt;&lt;full-title&gt;Toxicol Appl Pharmacol&lt;/full-title&gt;&lt;/periodical&gt;&lt;pages&gt;8-15&lt;/pages&gt;&lt;volume&gt;73&lt;/volume&gt;&lt;number&gt;1&lt;/number&gt;&lt;edition&gt;1984/03/30&lt;/edition&gt;&lt;keywords&gt;&lt;keyword&gt;Administration, Oral&lt;/keyword&gt;&lt;keyword&gt;Adult&lt;/keyword&gt;&lt;keyword&gt;Chlorpyrifos/blood/*metabolism/urine&lt;/keyword&gt;&lt;keyword&gt;Cholinesterases/blood&lt;/keyword&gt;&lt;keyword&gt;Erythrocytes/enzymology&lt;/keyword&gt;&lt;keyword&gt;Humans&lt;/keyword&gt;&lt;keyword&gt;Intestinal Absorption&lt;/keyword&gt;&lt;keyword&gt;Kinetics&lt;/keyword&gt;&lt;keyword&gt;Male&lt;/keyword&gt;&lt;keyword&gt;Middle Aged&lt;/keyword&gt;&lt;keyword&gt;Skin Absorption&lt;/keyword&gt;&lt;/keywords&gt;&lt;dates&gt;&lt;year&gt;1984&lt;/year&gt;&lt;pub-dates&gt;&lt;date&gt;Mar 30&lt;/date&gt;&lt;/pub-dates&gt;&lt;/dates&gt;&lt;isbn&gt;0041-008X (Print)&amp;#xD;0041-008X (Linking)&lt;/isbn&gt;&lt;accession-num&gt;6200956&lt;/accession-num&gt;&lt;urls&gt;&lt;related-urls&gt;&lt;url&gt;http://www.ncbi.nlm.nih.gov/entrez/query.fcgi?cmd=Retrieve&amp;amp;db=PubMed&amp;amp;dopt=Citation&amp;amp;list_uids=6200956&lt;/url&gt;&lt;/related-urls&gt;&lt;/urls&gt;&lt;language&gt;eng&lt;/language&gt;&lt;/record&gt;&lt;/Cite&gt;&lt;/EndNote&gt;</w:instrText>
      </w:r>
      <w:r w:rsidR="007A3FCF">
        <w:fldChar w:fldCharType="separate"/>
      </w:r>
      <w:r w:rsidR="00FC54EA" w:rsidRPr="00FC54EA">
        <w:rPr>
          <w:noProof/>
          <w:vertAlign w:val="superscript"/>
        </w:rPr>
        <w:t>(</w:t>
      </w:r>
      <w:hyperlink w:anchor="_ENREF_12" w:tooltip="Nolan, 1984 #197" w:history="1">
        <w:r w:rsidR="00FC54EA" w:rsidRPr="00FC54EA">
          <w:rPr>
            <w:noProof/>
            <w:vertAlign w:val="superscript"/>
          </w:rPr>
          <w:t>12</w:t>
        </w:r>
      </w:hyperlink>
      <w:r w:rsidR="00FC54EA" w:rsidRPr="00FC54EA">
        <w:rPr>
          <w:noProof/>
          <w:vertAlign w:val="superscript"/>
        </w:rPr>
        <w:t>)</w:t>
      </w:r>
      <w:r w:rsidR="007A3FCF">
        <w:fldChar w:fldCharType="end"/>
      </w:r>
      <w:r w:rsidR="005B066F">
        <w:t xml:space="preserve"> </w:t>
      </w:r>
      <w:r>
        <w:t>and</w:t>
      </w:r>
      <w:r w:rsidR="005B066F">
        <w:t xml:space="preserve"> the</w:t>
      </w:r>
      <w:r>
        <w:t xml:space="preserve"> late 1990s</w:t>
      </w:r>
      <w:r w:rsidR="005B066F">
        <w:t xml:space="preserve"> by Kisicki et al.</w:t>
      </w:r>
      <w:r>
        <w:t>, respectively.</w:t>
      </w:r>
      <w:r w:rsidR="00006147" w:rsidRPr="00006147">
        <w:t xml:space="preserve"> </w:t>
      </w:r>
      <w:r w:rsidR="007A3FCF">
        <w:fldChar w:fldCharType="begin"/>
      </w:r>
      <w:r w:rsidR="00FC54EA">
        <w:instrText xml:space="preserve"> ADDIN EN.CITE &lt;EndNote&gt;&lt;Cite&gt;&lt;Author&gt;Kisicki&lt;/Author&gt;&lt;Year&gt;1999&lt;/Year&gt;&lt;RecNum&gt;207&lt;/RecNum&gt;&lt;DisplayText&gt;&lt;style face="superscript"&gt;(11)&lt;/style&gt;&lt;/DisplayText&gt;&lt;record&gt;&lt;rec-number&gt;207&lt;/rec-number&gt;&lt;foreign-keys&gt;&lt;key app="EN" db-id="xftvffafmwpe0fedf055pwp7ts95t0ta0v0a"&gt;207&lt;/key&gt;&lt;/foreign-keys&gt;&lt;ref-type name="Report"&gt;27&lt;/ref-type&gt;&lt;contributors&gt;&lt;authors&gt;&lt;author&gt;Kisicki, JC, Seip, CW, Combs, ML&lt;/author&gt;&lt;/authors&gt;&lt;/contributors&gt;&lt;titles&gt;&lt;title&gt;A rising dose toxicology study to determine the no-observable-effect-levels (for erthyrocyte acetylcholinesterase (AChE) inhibition and cholinergic signs and symptoms of chlorpyrifos at three dose levels.&lt;/title&gt;&lt;/titles&gt;&lt;dates&gt;&lt;year&gt;1999&lt;/year&gt;&lt;pub-dates&gt;&lt;date&gt;April 18, 1999&lt;/date&gt;&lt;/pub-dates&gt;&lt;/dates&gt;&lt;publisher&gt;MDC Harris Laboratory, Lincoln Nebraska&lt;/publisher&gt;&lt;isbn&gt;MRID No.: 44811002.&lt;/isbn&gt;&lt;urls&gt;&lt;/urls&gt;&lt;/record&gt;&lt;/Cite&gt;&lt;/EndNote&gt;</w:instrText>
      </w:r>
      <w:r w:rsidR="007A3FCF">
        <w:fldChar w:fldCharType="separate"/>
      </w:r>
      <w:r w:rsidR="00FC54EA" w:rsidRPr="00FC54EA">
        <w:rPr>
          <w:noProof/>
          <w:vertAlign w:val="superscript"/>
        </w:rPr>
        <w:t>(</w:t>
      </w:r>
      <w:hyperlink w:anchor="_ENREF_11" w:tooltip="Kisicki, 1999 #207" w:history="1">
        <w:r w:rsidR="00FC54EA" w:rsidRPr="00FC54EA">
          <w:rPr>
            <w:noProof/>
            <w:vertAlign w:val="superscript"/>
          </w:rPr>
          <w:t>11</w:t>
        </w:r>
      </w:hyperlink>
      <w:r w:rsidR="00FC54EA" w:rsidRPr="00FC54EA">
        <w:rPr>
          <w:noProof/>
          <w:vertAlign w:val="superscript"/>
        </w:rPr>
        <w:t>)</w:t>
      </w:r>
      <w:r w:rsidR="007A3FCF">
        <w:fldChar w:fldCharType="end"/>
      </w:r>
    </w:p>
    <w:p w:rsidR="00807179" w:rsidRDefault="007B2BFE" w:rsidP="00807179">
      <w:pPr>
        <w:pStyle w:val="Body2"/>
      </w:pPr>
      <w:r>
        <w:t>We d</w:t>
      </w:r>
      <w:r w:rsidR="00F16862">
        <w:t xml:space="preserve">o not attempt </w:t>
      </w:r>
      <w:r>
        <w:t>a complete Bayesian analysis, based on a “full probability model”</w:t>
      </w:r>
      <w:r w:rsidR="007A3FCF">
        <w:fldChar w:fldCharType="begin"/>
      </w:r>
      <w:r w:rsidR="00FC54EA">
        <w:instrText xml:space="preserve"> ADDIN EN.CITE &lt;EndNote&gt;&lt;Cite&gt;&lt;Author&gt;Gelman&lt;/Author&gt;&lt;Year&gt;2004&lt;/Year&gt;&lt;RecNum&gt;235&lt;/RecNum&gt;&lt;DisplayText&gt;&lt;style face="superscript"&gt;(14)&lt;/style&gt;&lt;/DisplayText&gt;&lt;record&gt;&lt;rec-number&gt;235&lt;/rec-number&gt;&lt;foreign-keys&gt;&lt;key app="EN" db-id="apt5x9twmavw5feppw2p0x27wdvz92ez0va2"&gt;235&lt;/key&gt;&lt;/foreign-keys&gt;&lt;ref-type name="Book"&gt;6&lt;/ref-type&gt;&lt;contributors&gt;&lt;authors&gt;&lt;author&gt;Gelman, A, Carlin, J, Stern, H, Rubin D&lt;/author&gt;&lt;/authors&gt;&lt;/contributors&gt;&lt;titles&gt;&lt;title&gt;Bayesian Data Analysis, 2nd Edition&lt;/title&gt;&lt;/titles&gt;&lt;dates&gt;&lt;year&gt;2004&lt;/year&gt;&lt;/dates&gt;&lt;pub-location&gt;Boca Raton, FL&lt;/pub-location&gt;&lt;publisher&gt;Chapman and Hall/CRC Press&lt;/publisher&gt;&lt;urls&gt;&lt;/urls&gt;&lt;/record&gt;&lt;/Cite&gt;&lt;/EndNote&gt;</w:instrText>
      </w:r>
      <w:r w:rsidR="007A3FCF">
        <w:fldChar w:fldCharType="separate"/>
      </w:r>
      <w:r w:rsidR="00FC54EA" w:rsidRPr="00FC54EA">
        <w:rPr>
          <w:noProof/>
          <w:vertAlign w:val="superscript"/>
        </w:rPr>
        <w:t>(</w:t>
      </w:r>
      <w:hyperlink w:anchor="_ENREF_14" w:tooltip="Gelman, 2004 #235" w:history="1">
        <w:r w:rsidR="00FC54EA" w:rsidRPr="00FC54EA">
          <w:rPr>
            <w:noProof/>
            <w:vertAlign w:val="superscript"/>
          </w:rPr>
          <w:t>14</w:t>
        </w:r>
      </w:hyperlink>
      <w:r w:rsidR="00FC54EA" w:rsidRPr="00FC54EA">
        <w:rPr>
          <w:noProof/>
          <w:vertAlign w:val="superscript"/>
        </w:rPr>
        <w:t>)</w:t>
      </w:r>
      <w:r w:rsidR="007A3FCF">
        <w:fldChar w:fldCharType="end"/>
      </w:r>
      <w:r>
        <w:t xml:space="preserve">.  </w:t>
      </w:r>
      <w:r w:rsidR="00807179">
        <w:t xml:space="preserve">Our </w:t>
      </w:r>
      <w:r>
        <w:t xml:space="preserve">more limited </w:t>
      </w:r>
      <w:r w:rsidR="00807179">
        <w:t>go</w:t>
      </w:r>
      <w:r>
        <w:t xml:space="preserve">al is to make an </w:t>
      </w:r>
      <w:r w:rsidR="00807179">
        <w:t>informative description of what can</w:t>
      </w:r>
      <w:r>
        <w:t xml:space="preserve"> reasonably be inferred from tho</w:t>
      </w:r>
      <w:r w:rsidR="00807179">
        <w:t>se various data sources</w:t>
      </w:r>
      <w:r>
        <w:t xml:space="preserve"> interpreted as probabilistic predictions</w:t>
      </w:r>
      <w:r w:rsidR="00807179">
        <w:t xml:space="preserve">.  For the myriad small </w:t>
      </w:r>
      <w:r w:rsidR="00262F74">
        <w:t xml:space="preserve">issues </w:t>
      </w:r>
      <w:r w:rsidR="00807179">
        <w:t xml:space="preserve">that </w:t>
      </w:r>
      <w:r w:rsidR="00262F74">
        <w:t>arise</w:t>
      </w:r>
      <w:r w:rsidR="00807179">
        <w:t xml:space="preserve"> in interpreting each particular data set, our approach is to make reasonable choices and to be transparent about those choices and their justification.  For considering the influence of different data sets we combine them in a sequence of steps and present results at each step.  The results after </w:t>
      </w:r>
      <w:r w:rsidR="00C3609F">
        <w:t xml:space="preserve">combining information from </w:t>
      </w:r>
      <w:r w:rsidR="00807179">
        <w:t xml:space="preserve">three </w:t>
      </w:r>
      <w:r w:rsidR="00C3609F">
        <w:t xml:space="preserve">sources </w:t>
      </w:r>
      <w:r w:rsidR="00807179">
        <w:t>show what can inferred while ignoring the Kisicki data.  Considering the Kisicki data raises additional challenges because they appear</w:t>
      </w:r>
      <w:r w:rsidR="00C3609F">
        <w:t xml:space="preserve"> to contradict the Nolan data. </w:t>
      </w:r>
      <w:r w:rsidR="00807179">
        <w:t xml:space="preserve">The appearance of contradiction raise the question of whether one (or both) of the data sets might have unknown sources of error.  These possibilities can be elucidated by considering the findings that incorporate </w:t>
      </w:r>
      <w:r w:rsidR="00C3609F">
        <w:t xml:space="preserve">both, </w:t>
      </w:r>
      <w:r w:rsidR="00807179">
        <w:t>one or the other</w:t>
      </w:r>
      <w:r w:rsidR="00C3609F">
        <w:t>,</w:t>
      </w:r>
      <w:r w:rsidR="00807179">
        <w:t xml:space="preserve"> or neither of the Nolan and Kisicki data sets. </w:t>
      </w:r>
    </w:p>
    <w:p w:rsidR="00E56D04" w:rsidRDefault="00E56D04" w:rsidP="00E56D04">
      <w:pPr>
        <w:pStyle w:val="Body"/>
      </w:pPr>
      <w:r>
        <w:t xml:space="preserve">The discussion of methods </w:t>
      </w:r>
      <w:r w:rsidR="00807179">
        <w:t xml:space="preserve">and intermediate results </w:t>
      </w:r>
      <w:r>
        <w:t>below is kept brief</w:t>
      </w:r>
      <w:r w:rsidR="00807179">
        <w:t xml:space="preserve"> t</w:t>
      </w:r>
      <w:r w:rsidR="00FC3FC0">
        <w:t>o stay within space limitations</w:t>
      </w:r>
      <w:r>
        <w:t xml:space="preserve">.  More details of the application of the methods and intermediate results are available as supplementary material in a more extended version of this paper </w:t>
      </w:r>
      <w:r w:rsidR="00435220">
        <w:t>(</w:t>
      </w:r>
      <w:r w:rsidR="00435220" w:rsidRPr="00435220">
        <w:t>http://www2.clarku.edu/faculty/dhattis/</w:t>
      </w:r>
      <w:r w:rsidR="00435220">
        <w:t>).</w:t>
      </w:r>
    </w:p>
    <w:p w:rsidR="000E2FD8" w:rsidRDefault="00C63BC7" w:rsidP="00E2798F">
      <w:pPr>
        <w:pStyle w:val="Heading1"/>
      </w:pPr>
      <w:bookmarkStart w:id="2" w:name="_Toc223068334"/>
      <w:r>
        <w:t xml:space="preserve">2.  </w:t>
      </w:r>
      <w:r w:rsidR="000E2FD8">
        <w:t>Analytical Methods</w:t>
      </w:r>
      <w:bookmarkEnd w:id="2"/>
    </w:p>
    <w:p w:rsidR="00D3590C" w:rsidRDefault="00D3590C" w:rsidP="00D3590C"/>
    <w:p w:rsidR="00D3590C" w:rsidRDefault="00D3590C" w:rsidP="00D3590C">
      <w:pPr>
        <w:pStyle w:val="Heading2"/>
      </w:pPr>
      <w:bookmarkStart w:id="3" w:name="_Toc223068335"/>
      <w:r>
        <w:t>2.1  PBPK Modeling for Dosimetry Translation Among Different Routes of Exposure</w:t>
      </w:r>
      <w:bookmarkEnd w:id="3"/>
      <w:r>
        <w:t xml:space="preserve"> </w:t>
      </w:r>
    </w:p>
    <w:p w:rsidR="00D3590C" w:rsidRPr="00D3590C" w:rsidRDefault="00D3590C" w:rsidP="00D3590C"/>
    <w:p w:rsidR="00F34C46" w:rsidRDefault="00D3590C" w:rsidP="00702160">
      <w:pPr>
        <w:rPr>
          <w:rFonts w:ascii="Times New Roman" w:hAnsi="Times New Roman" w:cs="Times New Roman"/>
        </w:rPr>
      </w:pPr>
      <w:r w:rsidRPr="00B26FA3">
        <w:rPr>
          <w:rFonts w:ascii="Times New Roman" w:hAnsi="Times New Roman" w:cs="Times New Roman"/>
        </w:rPr>
        <w:t xml:space="preserve">The object of our model predictions is the low dose ratio of external absorbed CPF dose (by either inhalation or ingestion) to the blood CPF level in units of ng CPF/kg Body Weight-day absorbed external dose/(pg CPF/g blood).  In many cases, primary data for one route of exposure (e.g. ingestion for the Nolan and Kisicki data sets) are interpreted for the other route of exposure </w:t>
      </w:r>
      <w:r w:rsidRPr="00B26FA3">
        <w:rPr>
          <w:rFonts w:ascii="Times New Roman" w:hAnsi="Times New Roman" w:cs="Times New Roman"/>
        </w:rPr>
        <w:lastRenderedPageBreak/>
        <w:t xml:space="preserve">using PBPK modeling.  </w:t>
      </w:r>
      <w:r w:rsidR="00F34C46">
        <w:rPr>
          <w:rFonts w:ascii="Times New Roman" w:hAnsi="Times New Roman" w:cs="Times New Roman"/>
        </w:rPr>
        <w:t>To do this, metabolism rates and associated uncertainties are transferred between models incorporating the different exposure routes.</w:t>
      </w:r>
      <w:r w:rsidR="004758CB">
        <w:rPr>
          <w:rFonts w:ascii="Times New Roman" w:hAnsi="Times New Roman" w:cs="Times New Roman"/>
        </w:rPr>
        <w:t xml:space="preserve">  PBPK model calculations of this ratio are not taken to infinite time but are done to a standard time (400 hours, or somewhat over 2 weeks) that is long enough for most compartments except fat to closely approach steady state, but not long enough to be unrealistic in representing the changing compartment sizes and </w:t>
      </w:r>
      <w:r w:rsidR="007E5759">
        <w:rPr>
          <w:rFonts w:ascii="Times New Roman" w:hAnsi="Times New Roman" w:cs="Times New Roman"/>
        </w:rPr>
        <w:t>blood flows</w:t>
      </w:r>
      <w:r w:rsidR="004758CB">
        <w:rPr>
          <w:rFonts w:ascii="Times New Roman" w:hAnsi="Times New Roman" w:cs="Times New Roman"/>
        </w:rPr>
        <w:t xml:space="preserve"> of late pregnancy.</w:t>
      </w:r>
    </w:p>
    <w:p w:rsidR="00F34C46" w:rsidRDefault="00F34C46" w:rsidP="00702160">
      <w:pPr>
        <w:rPr>
          <w:rFonts w:ascii="Times New Roman" w:hAnsi="Times New Roman" w:cs="Times New Roman"/>
        </w:rPr>
      </w:pPr>
    </w:p>
    <w:p w:rsidR="004D73D4" w:rsidRDefault="00F34C46" w:rsidP="00702160">
      <w:pPr>
        <w:rPr>
          <w:rFonts w:ascii="Times New Roman" w:hAnsi="Times New Roman" w:cs="Times New Roman"/>
        </w:rPr>
      </w:pPr>
      <w:r>
        <w:rPr>
          <w:rFonts w:ascii="Times New Roman" w:hAnsi="Times New Roman" w:cs="Times New Roman"/>
        </w:rPr>
        <w:t>I</w:t>
      </w:r>
      <w:r w:rsidR="003233EB" w:rsidRPr="00B26FA3">
        <w:rPr>
          <w:rFonts w:ascii="Times New Roman" w:hAnsi="Times New Roman" w:cs="Times New Roman"/>
        </w:rPr>
        <w:t>n doing this it is important to recognize the effects of some common conventions in PBPK modeling that create non-obvious differenc</w:t>
      </w:r>
      <w:r w:rsidR="00367EAA" w:rsidRPr="00B26FA3">
        <w:rPr>
          <w:rFonts w:ascii="Times New Roman" w:hAnsi="Times New Roman" w:cs="Times New Roman"/>
        </w:rPr>
        <w:t xml:space="preserve">es in the mathematical form of </w:t>
      </w:r>
      <w:r w:rsidR="003233EB" w:rsidRPr="00B26FA3">
        <w:rPr>
          <w:rFonts w:ascii="Times New Roman" w:hAnsi="Times New Roman" w:cs="Times New Roman"/>
        </w:rPr>
        <w:t xml:space="preserve">the relationships between metabolism rates and the external dose needed to produce a given </w:t>
      </w:r>
      <w:r w:rsidR="00C26C1A" w:rsidRPr="00B26FA3">
        <w:rPr>
          <w:rFonts w:ascii="Times New Roman" w:hAnsi="Times New Roman" w:cs="Times New Roman"/>
        </w:rPr>
        <w:t xml:space="preserve">long term blood level.  </w:t>
      </w:r>
      <w:r w:rsidR="00367EAA" w:rsidRPr="00B26FA3">
        <w:rPr>
          <w:rFonts w:ascii="Times New Roman" w:hAnsi="Times New Roman" w:cs="Times New Roman"/>
        </w:rPr>
        <w:t xml:space="preserve">These conventions are (1) all metabolism occurs in the liver, and (2) following ingestion, all blood carrying absorbed material flows to the liver before reaching the systemic circulation.  </w:t>
      </w:r>
    </w:p>
    <w:p w:rsidR="004D73D4" w:rsidRDefault="004D73D4" w:rsidP="00702160">
      <w:pPr>
        <w:rPr>
          <w:rFonts w:ascii="Times New Roman" w:hAnsi="Times New Roman" w:cs="Times New Roman"/>
        </w:rPr>
      </w:pPr>
    </w:p>
    <w:p w:rsidR="00910906" w:rsidRDefault="00F34C46" w:rsidP="00702160">
      <w:pPr>
        <w:rPr>
          <w:rFonts w:ascii="Times New Roman" w:hAnsi="Times New Roman" w:cs="Times New Roman"/>
        </w:rPr>
      </w:pPr>
      <w:r>
        <w:rPr>
          <w:rFonts w:ascii="Times New Roman" w:hAnsi="Times New Roman" w:cs="Times New Roman"/>
        </w:rPr>
        <w:t xml:space="preserve">It turns out that for the ingestion route of exposure, </w:t>
      </w:r>
      <w:r w:rsidR="004D73D4">
        <w:rPr>
          <w:rFonts w:ascii="Times New Roman" w:hAnsi="Times New Roman" w:cs="Times New Roman"/>
        </w:rPr>
        <w:t xml:space="preserve">these typical assumptions lead to </w:t>
      </w:r>
      <w:r>
        <w:rPr>
          <w:rFonts w:ascii="Times New Roman" w:hAnsi="Times New Roman" w:cs="Times New Roman"/>
        </w:rPr>
        <w:t xml:space="preserve">a very straightforward relationship between metabolism rates </w:t>
      </w:r>
      <w:r w:rsidR="00C504FA">
        <w:rPr>
          <w:rFonts w:ascii="Times New Roman" w:hAnsi="Times New Roman" w:cs="Times New Roman"/>
        </w:rPr>
        <w:t xml:space="preserve">and the dosimetry translation factor, even where the metabolism rate is such that a large fraction of the chlorpyrifos is expected to be removed on the “first pass” through the liver.  However, with the inhalation route, only about a quarter of the chloropyrifos absorbed into the arterial blood in the lungs is subjected to liver metabolism before reaching the venous blood.   The effect of this is that even for very high rates of metabolism, the external dose rate/blood level ratio approaches a maximal value (Figure </w:t>
      </w:r>
      <w:r w:rsidR="006A0B4F">
        <w:rPr>
          <w:rFonts w:ascii="Times New Roman" w:hAnsi="Times New Roman" w:cs="Times New Roman"/>
        </w:rPr>
        <w:t>1</w:t>
      </w:r>
      <w:r w:rsidR="00C504FA">
        <w:rPr>
          <w:rFonts w:ascii="Times New Roman" w:hAnsi="Times New Roman" w:cs="Times New Roman"/>
        </w:rPr>
        <w:t>).</w:t>
      </w:r>
      <w:r w:rsidR="005668F6">
        <w:rPr>
          <w:rFonts w:ascii="Times New Roman" w:hAnsi="Times New Roman" w:cs="Times New Roman"/>
        </w:rPr>
        <w:t xml:space="preserve"> </w:t>
      </w:r>
      <w:r w:rsidR="00910906">
        <w:rPr>
          <w:rFonts w:ascii="Times New Roman" w:hAnsi="Times New Roman" w:cs="Times New Roman"/>
        </w:rPr>
        <w:t xml:space="preserve"> </w:t>
      </w:r>
    </w:p>
    <w:p w:rsidR="00910906" w:rsidRDefault="00910906" w:rsidP="00702160">
      <w:pPr>
        <w:rPr>
          <w:rFonts w:ascii="Times New Roman" w:hAnsi="Times New Roman" w:cs="Times New Roman"/>
        </w:rPr>
      </w:pPr>
    </w:p>
    <w:p w:rsidR="00702160" w:rsidRDefault="00910906" w:rsidP="00702160">
      <w:pPr>
        <w:rPr>
          <w:rFonts w:ascii="Times New Roman" w:hAnsi="Times New Roman" w:cs="Times New Roman"/>
        </w:rPr>
      </w:pPr>
      <w:r>
        <w:rPr>
          <w:rFonts w:ascii="Times New Roman" w:hAnsi="Times New Roman" w:cs="Times New Roman"/>
        </w:rPr>
        <w:t xml:space="preserve">This maximum can be determined directly by making model variants where the release of chlorpyrifos from the liver to the venous blood pool is set to zero.  </w:t>
      </w:r>
      <w:r w:rsidR="005668F6">
        <w:rPr>
          <w:rFonts w:ascii="Times New Roman" w:hAnsi="Times New Roman" w:cs="Times New Roman"/>
        </w:rPr>
        <w:t xml:space="preserve"> </w:t>
      </w:r>
      <w:r>
        <w:rPr>
          <w:rFonts w:ascii="Times New Roman" w:hAnsi="Times New Roman" w:cs="Times New Roman"/>
        </w:rPr>
        <w:t>For central estimates of tissue/blood partition coefficient, as depicted in Figure 1, that maximum is about 32.53 ng/kg-day per pg/g of blood.  This maximum changes only slightly for ± 1 standard error estimates of the tissue/blood partition coefficients (32.30-32.76).</w:t>
      </w:r>
    </w:p>
    <w:p w:rsidR="005668F6" w:rsidRDefault="005668F6" w:rsidP="00702160">
      <w:pPr>
        <w:rPr>
          <w:rFonts w:ascii="Times New Roman" w:hAnsi="Times New Roman" w:cs="Times New Roman"/>
        </w:rPr>
      </w:pPr>
    </w:p>
    <w:p w:rsidR="005668F6" w:rsidRDefault="005668F6" w:rsidP="00702160">
      <w:pPr>
        <w:rPr>
          <w:rFonts w:ascii="Times New Roman" w:hAnsi="Times New Roman" w:cs="Times New Roman"/>
        </w:rPr>
      </w:pPr>
      <w:r>
        <w:rPr>
          <w:rFonts w:ascii="Times New Roman" w:hAnsi="Times New Roman" w:cs="Times New Roman"/>
        </w:rPr>
        <w:t xml:space="preserve">The saturation-type form in Figure 1 suggests a Michaelis-Menten type relationship between </w:t>
      </w:r>
      <w:r w:rsidR="008E11DF">
        <w:rPr>
          <w:rFonts w:ascii="Times New Roman" w:hAnsi="Times New Roman" w:cs="Times New Roman"/>
        </w:rPr>
        <w:t xml:space="preserve">the liver metabolism rate and the inhalation dose/blood level ratio.  For the central estimate partition coefficients, the points are well fit </w:t>
      </w:r>
      <w:r w:rsidR="00AE73A2">
        <w:rPr>
          <w:rFonts w:ascii="Times New Roman" w:hAnsi="Times New Roman" w:cs="Times New Roman"/>
        </w:rPr>
        <w:t>(</w:t>
      </w:r>
      <w:r w:rsidR="00AE7532">
        <w:rPr>
          <w:rFonts w:ascii="Times New Roman" w:hAnsi="Times New Roman" w:cs="Times New Roman"/>
        </w:rPr>
        <w:t xml:space="preserve">average </w:t>
      </w:r>
      <w:r w:rsidR="00AE73A2">
        <w:rPr>
          <w:rFonts w:ascii="Times New Roman" w:hAnsi="Times New Roman" w:cs="Times New Roman"/>
        </w:rPr>
        <w:t xml:space="preserve">root mean square error for </w:t>
      </w:r>
      <w:r w:rsidR="00AE7532">
        <w:rPr>
          <w:rFonts w:ascii="Times New Roman" w:hAnsi="Times New Roman" w:cs="Times New Roman"/>
        </w:rPr>
        <w:t>18</w:t>
      </w:r>
      <w:r w:rsidR="00AE73A2">
        <w:rPr>
          <w:rFonts w:ascii="Times New Roman" w:hAnsi="Times New Roman" w:cs="Times New Roman"/>
        </w:rPr>
        <w:t xml:space="preserve"> data points = </w:t>
      </w:r>
      <w:r w:rsidR="00AE7532">
        <w:rPr>
          <w:rFonts w:ascii="Times New Roman" w:hAnsi="Times New Roman" w:cs="Times New Roman"/>
        </w:rPr>
        <w:t>0.5% of the inhalation dose ratio values</w:t>
      </w:r>
      <w:r w:rsidR="00AE73A2">
        <w:rPr>
          <w:rFonts w:ascii="Times New Roman" w:hAnsi="Times New Roman" w:cs="Times New Roman"/>
        </w:rPr>
        <w:t xml:space="preserve">) </w:t>
      </w:r>
      <w:r w:rsidR="008E11DF">
        <w:rPr>
          <w:rFonts w:ascii="Times New Roman" w:hAnsi="Times New Roman" w:cs="Times New Roman"/>
        </w:rPr>
        <w:t xml:space="preserve">by </w:t>
      </w:r>
    </w:p>
    <w:p w:rsidR="00757B38" w:rsidRDefault="00757B38" w:rsidP="00702160">
      <w:pPr>
        <w:rPr>
          <w:rFonts w:ascii="Times New Roman" w:hAnsi="Times New Roman" w:cs="Times New Roman"/>
        </w:rPr>
      </w:pPr>
    </w:p>
    <w:p w:rsidR="008E11DF" w:rsidRDefault="008E11DF" w:rsidP="00702160">
      <w:pPr>
        <w:rPr>
          <w:rFonts w:ascii="Times New Roman" w:hAnsi="Times New Roman" w:cs="Times New Roman"/>
        </w:rPr>
      </w:pPr>
      <w:r w:rsidRPr="008E11DF">
        <w:rPr>
          <w:rFonts w:ascii="Times New Roman" w:hAnsi="Times New Roman" w:cs="Times New Roman"/>
          <w:position w:val="-4"/>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pt" o:ole="">
            <v:imagedata r:id="rId8" o:title=""/>
          </v:shape>
          <o:OLEObject Type="Embed" ProgID="Equation.3" ShapeID="_x0000_i1025" DrawAspect="Content" ObjectID="_1424520302" r:id="rId9"/>
        </w:object>
      </w:r>
      <w:r w:rsidR="006E472E" w:rsidRPr="008E11DF">
        <w:rPr>
          <w:rFonts w:ascii="Times New Roman" w:hAnsi="Times New Roman" w:cs="Times New Roman"/>
          <w:position w:val="-24"/>
        </w:rPr>
        <w:object w:dxaOrig="7080" w:dyaOrig="620">
          <v:shape id="_x0000_i1026" type="#_x0000_t75" style="width:354pt;height:31pt" o:ole="">
            <v:imagedata r:id="rId10" o:title=""/>
          </v:shape>
          <o:OLEObject Type="Embed" ProgID="Equation.3" ShapeID="_x0000_i1026" DrawAspect="Content" ObjectID="_1424520303" r:id="rId11"/>
        </w:object>
      </w:r>
    </w:p>
    <w:p w:rsidR="00354BC4" w:rsidRDefault="00354BC4" w:rsidP="00702160">
      <w:pPr>
        <w:rPr>
          <w:rFonts w:ascii="Times New Roman" w:hAnsi="Times New Roman" w:cs="Times New Roman"/>
        </w:rPr>
      </w:pPr>
    </w:p>
    <w:p w:rsidR="00757B38" w:rsidRDefault="00757B38" w:rsidP="00702160">
      <w:pPr>
        <w:rPr>
          <w:rFonts w:ascii="Times New Roman" w:hAnsi="Times New Roman" w:cs="Times New Roman"/>
        </w:rPr>
      </w:pPr>
      <w:r>
        <w:rPr>
          <w:rFonts w:ascii="Times New Roman" w:hAnsi="Times New Roman" w:cs="Times New Roman"/>
        </w:rPr>
        <w:t>where the liver metabolism rate is in units of 1/min, and “base”, “max ratio”, and “half-saturation rate” are fitted constants.  For the central estimate tissue/blood partition coefficients (liver/blood = 6.1) these fitted values are:</w:t>
      </w:r>
    </w:p>
    <w:p w:rsidR="00757B38" w:rsidRDefault="00757B38" w:rsidP="00702160">
      <w:pPr>
        <w:rPr>
          <w:rFonts w:ascii="Times New Roman" w:hAnsi="Times New Roman" w:cs="Times New Roman"/>
        </w:rPr>
      </w:pPr>
    </w:p>
    <w:p w:rsidR="00757B38" w:rsidRDefault="00757B38" w:rsidP="00702160">
      <w:pPr>
        <w:rPr>
          <w:rFonts w:ascii="Times New Roman" w:hAnsi="Times New Roman" w:cs="Times New Roman"/>
        </w:rPr>
      </w:pPr>
      <w:r>
        <w:rPr>
          <w:rFonts w:ascii="Times New Roman" w:hAnsi="Times New Roman" w:cs="Times New Roman"/>
        </w:rPr>
        <w:t>base = 0.325</w:t>
      </w:r>
    </w:p>
    <w:p w:rsidR="00757B38" w:rsidRDefault="00757B38" w:rsidP="00702160">
      <w:pPr>
        <w:rPr>
          <w:rFonts w:ascii="Times New Roman" w:hAnsi="Times New Roman" w:cs="Times New Roman"/>
        </w:rPr>
      </w:pPr>
      <w:r>
        <w:rPr>
          <w:rFonts w:ascii="Times New Roman" w:hAnsi="Times New Roman" w:cs="Times New Roman"/>
        </w:rPr>
        <w:t>max ratio = 32.6</w:t>
      </w:r>
    </w:p>
    <w:p w:rsidR="00757B38" w:rsidRDefault="00757B38" w:rsidP="00702160">
      <w:pPr>
        <w:rPr>
          <w:rFonts w:ascii="Times New Roman" w:hAnsi="Times New Roman" w:cs="Times New Roman"/>
        </w:rPr>
      </w:pPr>
      <w:r>
        <w:rPr>
          <w:rFonts w:ascii="Times New Roman" w:hAnsi="Times New Roman" w:cs="Times New Roman"/>
        </w:rPr>
        <w:t>half-saturation rate = 0.189</w:t>
      </w:r>
    </w:p>
    <w:p w:rsidR="00757B38" w:rsidRDefault="00757B38" w:rsidP="00702160">
      <w:pPr>
        <w:rPr>
          <w:rFonts w:ascii="Times New Roman" w:hAnsi="Times New Roman" w:cs="Times New Roman"/>
        </w:rPr>
      </w:pPr>
    </w:p>
    <w:p w:rsidR="007A1F95" w:rsidRDefault="006E472E" w:rsidP="0027651A">
      <w:pPr>
        <w:rPr>
          <w:rFonts w:ascii="Times New Roman" w:hAnsi="Times New Roman" w:cs="Times New Roman"/>
        </w:rPr>
      </w:pPr>
      <w:r>
        <w:rPr>
          <w:rFonts w:ascii="Times New Roman" w:hAnsi="Times New Roman" w:cs="Times New Roman"/>
        </w:rPr>
        <w:t>T</w:t>
      </w:r>
      <w:r w:rsidR="00757B38">
        <w:rPr>
          <w:rFonts w:ascii="Times New Roman" w:hAnsi="Times New Roman" w:cs="Times New Roman"/>
        </w:rPr>
        <w:t xml:space="preserve">rials with a range of values for the liver/blood and other related tissue/blood partition coefficients reveal </w:t>
      </w:r>
      <w:r>
        <w:rPr>
          <w:rFonts w:ascii="Times New Roman" w:hAnsi="Times New Roman" w:cs="Times New Roman"/>
        </w:rPr>
        <w:t xml:space="preserve">that the “max ratio” </w:t>
      </w:r>
      <w:r w:rsidR="00CB04BC">
        <w:rPr>
          <w:rFonts w:ascii="Times New Roman" w:hAnsi="Times New Roman" w:cs="Times New Roman"/>
        </w:rPr>
        <w:t xml:space="preserve">and “half-saturation rate” </w:t>
      </w:r>
      <w:r>
        <w:rPr>
          <w:rFonts w:ascii="Times New Roman" w:hAnsi="Times New Roman" w:cs="Times New Roman"/>
        </w:rPr>
        <w:t>component</w:t>
      </w:r>
      <w:r w:rsidR="00CB04BC">
        <w:rPr>
          <w:rFonts w:ascii="Times New Roman" w:hAnsi="Times New Roman" w:cs="Times New Roman"/>
        </w:rPr>
        <w:t>s of this equation are</w:t>
      </w:r>
      <w:r>
        <w:rPr>
          <w:rFonts w:ascii="Times New Roman" w:hAnsi="Times New Roman" w:cs="Times New Roman"/>
        </w:rPr>
        <w:t xml:space="preserve"> </w:t>
      </w:r>
    </w:p>
    <w:p w:rsidR="006E472E" w:rsidRDefault="006E472E" w:rsidP="00702160">
      <w:pPr>
        <w:rPr>
          <w:rFonts w:ascii="Times New Roman" w:hAnsi="Times New Roman" w:cs="Times New Roman"/>
        </w:rPr>
      </w:pPr>
    </w:p>
    <w:p w:rsidR="007313F5" w:rsidRDefault="00F20568" w:rsidP="00746979">
      <w:pPr>
        <w:pStyle w:val="Heading2"/>
      </w:pPr>
      <w:r>
        <w:rPr>
          <w:noProof/>
          <w:lang w:eastAsia="en-US"/>
        </w:rPr>
        <w:lastRenderedPageBreak/>
        <w:drawing>
          <wp:inline distT="0" distB="0" distL="0" distR="0">
            <wp:extent cx="5486400" cy="32004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13F5" w:rsidRDefault="007313F5" w:rsidP="007313F5"/>
    <w:p w:rsidR="00E51279" w:rsidRDefault="00E51279" w:rsidP="007313F5">
      <w:pPr>
        <w:rPr>
          <w:rFonts w:ascii="Times New Roman" w:hAnsi="Times New Roman" w:cs="Times New Roman"/>
          <w:b/>
        </w:rPr>
      </w:pPr>
    </w:p>
    <w:p w:rsidR="00E51279" w:rsidRDefault="00E51279" w:rsidP="007313F5">
      <w:pPr>
        <w:rPr>
          <w:rFonts w:ascii="Times New Roman" w:hAnsi="Times New Roman" w:cs="Times New Roman"/>
          <w:b/>
        </w:rPr>
      </w:pPr>
    </w:p>
    <w:p w:rsidR="007313F5" w:rsidRPr="004C198F" w:rsidRDefault="004C198F" w:rsidP="007313F5">
      <w:pPr>
        <w:rPr>
          <w:rFonts w:ascii="Times New Roman" w:hAnsi="Times New Roman" w:cs="Times New Roman"/>
        </w:rPr>
      </w:pPr>
      <w:r>
        <w:rPr>
          <w:rFonts w:ascii="Times New Roman" w:hAnsi="Times New Roman" w:cs="Times New Roman"/>
          <w:b/>
        </w:rPr>
        <w:t xml:space="preserve">Fig. 1. </w:t>
      </w:r>
      <w:r>
        <w:rPr>
          <w:rFonts w:ascii="Times New Roman" w:hAnsi="Times New Roman" w:cs="Times New Roman"/>
        </w:rPr>
        <w:t xml:space="preserve">Contrasting relationships between liver metabolism rate and </w:t>
      </w:r>
      <w:r w:rsidR="00E260CB">
        <w:rPr>
          <w:rFonts w:ascii="Times New Roman" w:hAnsi="Times New Roman" w:cs="Times New Roman"/>
        </w:rPr>
        <w:t>dose/blood level ratios</w:t>
      </w:r>
      <w:r>
        <w:rPr>
          <w:rFonts w:ascii="Times New Roman" w:hAnsi="Times New Roman" w:cs="Times New Roman"/>
        </w:rPr>
        <w:t xml:space="preserve"> for </w:t>
      </w:r>
      <w:r w:rsidR="00C50131">
        <w:rPr>
          <w:rFonts w:ascii="Times New Roman" w:hAnsi="Times New Roman" w:cs="Times New Roman"/>
        </w:rPr>
        <w:t xml:space="preserve">PBPK-modeled </w:t>
      </w:r>
      <w:r>
        <w:rPr>
          <w:rFonts w:ascii="Times New Roman" w:hAnsi="Times New Roman" w:cs="Times New Roman"/>
        </w:rPr>
        <w:t xml:space="preserve">ingestion vs </w:t>
      </w:r>
      <w:r w:rsidR="00A67875">
        <w:rPr>
          <w:rFonts w:ascii="Times New Roman" w:hAnsi="Times New Roman" w:cs="Times New Roman"/>
        </w:rPr>
        <w:t>inhalation routes of absorption</w:t>
      </w:r>
      <w:r w:rsidR="00A84A6B">
        <w:rPr>
          <w:rFonts w:ascii="Times New Roman" w:hAnsi="Times New Roman" w:cs="Times New Roman"/>
        </w:rPr>
        <w:t xml:space="preserve"> </w:t>
      </w:r>
      <w:r w:rsidR="00E260CB">
        <w:rPr>
          <w:rFonts w:ascii="Times New Roman" w:hAnsi="Times New Roman" w:cs="Times New Roman"/>
        </w:rPr>
        <w:t>for central estimates of tissue/</w:t>
      </w:r>
      <w:r w:rsidR="00A84A6B">
        <w:rPr>
          <w:rFonts w:ascii="Times New Roman" w:hAnsi="Times New Roman" w:cs="Times New Roman"/>
        </w:rPr>
        <w:t>blood partition coefficients</w:t>
      </w:r>
      <w:r w:rsidR="00A67875">
        <w:rPr>
          <w:rFonts w:ascii="Times New Roman" w:hAnsi="Times New Roman" w:cs="Times New Roman"/>
        </w:rPr>
        <w:t>.</w:t>
      </w:r>
      <w:r w:rsidR="007A146D">
        <w:rPr>
          <w:rFonts w:ascii="Times New Roman" w:hAnsi="Times New Roman" w:cs="Times New Roman"/>
        </w:rPr>
        <w:t xml:space="preserve">  The non-linearity in the inhalation curve results from the facts all metabolism is placed in the liver and that only about a quarter of the chlorpyrifos absorbed via inhalation passes through the liver before it can reach and be measured in the venous blood.  </w:t>
      </w:r>
      <w:r w:rsidR="00287484">
        <w:rPr>
          <w:rFonts w:ascii="Times New Roman" w:hAnsi="Times New Roman" w:cs="Times New Roman"/>
        </w:rPr>
        <w:t xml:space="preserve">Thus at high metabolism rates an upper limit is reached in the dose/blood ratio that corresponds to nearly complete elimination of chlorpyrifos from the blood going to the liver, but little or no elimination from blood that reaches the venous circulation after first passing through other organs.  </w:t>
      </w:r>
      <w:r w:rsidR="007A146D">
        <w:rPr>
          <w:rFonts w:ascii="Times New Roman" w:hAnsi="Times New Roman" w:cs="Times New Roman"/>
        </w:rPr>
        <w:t>By contrast all blood absorbed via ingestion is expected to first pass through the liver before reaching the venous blood—leadi</w:t>
      </w:r>
      <w:r w:rsidR="00287484">
        <w:rPr>
          <w:rFonts w:ascii="Times New Roman" w:hAnsi="Times New Roman" w:cs="Times New Roman"/>
        </w:rPr>
        <w:t>ng to a near linear relationship</w:t>
      </w:r>
      <w:r w:rsidR="007A146D">
        <w:rPr>
          <w:rFonts w:ascii="Times New Roman" w:hAnsi="Times New Roman" w:cs="Times New Roman"/>
        </w:rPr>
        <w:t xml:space="preserve"> between the liver metabolism rate and the absorbed dose needed to produce a given level of chlorpyrifos in venous blood.</w:t>
      </w:r>
    </w:p>
    <w:p w:rsidR="001D47BD" w:rsidRDefault="004C198F" w:rsidP="007A1F95">
      <w:pPr>
        <w:rPr>
          <w:rFonts w:ascii="Times New Roman" w:hAnsi="Times New Roman" w:cs="Times New Roman"/>
        </w:rPr>
      </w:pPr>
      <w:r>
        <w:br w:type="page"/>
      </w:r>
    </w:p>
    <w:p w:rsidR="0027651A" w:rsidRDefault="0027651A" w:rsidP="0027651A">
      <w:pPr>
        <w:rPr>
          <w:rFonts w:ascii="Times New Roman" w:hAnsi="Times New Roman" w:cs="Times New Roman"/>
        </w:rPr>
      </w:pPr>
      <w:r>
        <w:rPr>
          <w:rFonts w:ascii="Times New Roman" w:hAnsi="Times New Roman" w:cs="Times New Roman"/>
        </w:rPr>
        <w:t>influenced by the liver/blood partition coefficient.  A revised equation including this dependency is</w:t>
      </w:r>
    </w:p>
    <w:p w:rsidR="0027651A" w:rsidRDefault="0027651A" w:rsidP="0027651A">
      <w:pPr>
        <w:rPr>
          <w:rFonts w:ascii="Times New Roman" w:hAnsi="Times New Roman" w:cs="Times New Roman"/>
        </w:rPr>
      </w:pPr>
    </w:p>
    <w:p w:rsidR="0027651A" w:rsidRDefault="0027651A" w:rsidP="0027651A">
      <w:pPr>
        <w:rPr>
          <w:rFonts w:ascii="Times New Roman" w:hAnsi="Times New Roman" w:cs="Times New Roman"/>
        </w:rPr>
      </w:pPr>
      <w:r w:rsidRPr="00CB04BC">
        <w:rPr>
          <w:rFonts w:ascii="Times New Roman" w:hAnsi="Times New Roman" w:cs="Times New Roman"/>
          <w:position w:val="-30"/>
        </w:rPr>
        <w:object w:dxaOrig="9660" w:dyaOrig="700">
          <v:shape id="_x0000_i1027" type="#_x0000_t75" style="width:468pt;height:34pt" o:ole="">
            <v:imagedata r:id="rId13" o:title=""/>
          </v:shape>
          <o:OLEObject Type="Embed" ProgID="Equation.3" ShapeID="_x0000_i1027" DrawAspect="Content" ObjectID="_1424520304" r:id="rId14"/>
        </w:object>
      </w:r>
    </w:p>
    <w:p w:rsidR="0027651A" w:rsidRDefault="0027651A" w:rsidP="0027651A">
      <w:pPr>
        <w:rPr>
          <w:rFonts w:ascii="Times New Roman" w:hAnsi="Times New Roman" w:cs="Times New Roman"/>
        </w:rPr>
      </w:pPr>
    </w:p>
    <w:p w:rsidR="0027651A" w:rsidRDefault="0027651A" w:rsidP="0027651A">
      <w:pPr>
        <w:rPr>
          <w:rFonts w:ascii="Times New Roman" w:hAnsi="Times New Roman" w:cs="Times New Roman"/>
        </w:rPr>
      </w:pPr>
      <w:r>
        <w:rPr>
          <w:rFonts w:ascii="Times New Roman" w:hAnsi="Times New Roman" w:cs="Times New Roman"/>
        </w:rPr>
        <w:t>where minimizing the squares of the deviations of observed from model fitted values yields:</w:t>
      </w:r>
    </w:p>
    <w:p w:rsidR="0011620A" w:rsidRDefault="0011620A" w:rsidP="0011620A">
      <w:pPr>
        <w:rPr>
          <w:rFonts w:ascii="Times New Roman" w:hAnsi="Times New Roman" w:cs="Times New Roman"/>
        </w:rPr>
      </w:pPr>
      <w:r>
        <w:rPr>
          <w:rFonts w:ascii="Times New Roman" w:hAnsi="Times New Roman" w:cs="Times New Roman"/>
        </w:rPr>
        <w:t>base = 0.335</w:t>
      </w:r>
    </w:p>
    <w:p w:rsidR="0011620A" w:rsidRDefault="0011620A" w:rsidP="0011620A">
      <w:pPr>
        <w:rPr>
          <w:rFonts w:ascii="Times New Roman" w:hAnsi="Times New Roman" w:cs="Times New Roman"/>
        </w:rPr>
      </w:pPr>
      <w:r>
        <w:rPr>
          <w:rFonts w:ascii="Times New Roman" w:hAnsi="Times New Roman" w:cs="Times New Roman"/>
        </w:rPr>
        <w:t>max ratio = 32.6</w:t>
      </w:r>
    </w:p>
    <w:p w:rsidR="0011620A" w:rsidRDefault="0011620A" w:rsidP="0011620A">
      <w:pPr>
        <w:rPr>
          <w:rFonts w:ascii="Times New Roman" w:hAnsi="Times New Roman" w:cs="Times New Roman"/>
        </w:rPr>
      </w:pPr>
      <w:r>
        <w:rPr>
          <w:rFonts w:ascii="Times New Roman" w:hAnsi="Times New Roman" w:cs="Times New Roman"/>
        </w:rPr>
        <w:t>half-saturation rate = 0.189</w:t>
      </w:r>
    </w:p>
    <w:p w:rsidR="0011620A" w:rsidRDefault="0011620A" w:rsidP="0011620A">
      <w:pPr>
        <w:rPr>
          <w:rFonts w:ascii="Times New Roman" w:hAnsi="Times New Roman" w:cs="Times New Roman"/>
        </w:rPr>
      </w:pPr>
      <w:r>
        <w:rPr>
          <w:rFonts w:ascii="Times New Roman" w:hAnsi="Times New Roman" w:cs="Times New Roman"/>
        </w:rPr>
        <w:t>fitted exponent = 0.0606</w:t>
      </w:r>
    </w:p>
    <w:p w:rsidR="0011620A" w:rsidRDefault="0011620A" w:rsidP="0011620A">
      <w:pPr>
        <w:rPr>
          <w:rFonts w:ascii="Times New Roman" w:hAnsi="Times New Roman" w:cs="Times New Roman"/>
        </w:rPr>
      </w:pPr>
      <w:r>
        <w:rPr>
          <w:rFonts w:ascii="Times New Roman" w:hAnsi="Times New Roman" w:cs="Times New Roman"/>
        </w:rPr>
        <w:t>liv bl partco = liver blood partition coefficient (with a central estimate value of 6.12).</w:t>
      </w:r>
    </w:p>
    <w:p w:rsidR="0011620A" w:rsidRDefault="0011620A" w:rsidP="0011620A">
      <w:pPr>
        <w:rPr>
          <w:rFonts w:ascii="Times New Roman" w:hAnsi="Times New Roman" w:cs="Times New Roman"/>
        </w:rPr>
      </w:pPr>
    </w:p>
    <w:p w:rsidR="00CD6859" w:rsidRDefault="00CD6859" w:rsidP="0011620A">
      <w:pPr>
        <w:rPr>
          <w:rFonts w:ascii="Times New Roman" w:hAnsi="Times New Roman" w:cs="Times New Roman"/>
        </w:rPr>
      </w:pPr>
    </w:p>
    <w:p w:rsidR="00995133" w:rsidRDefault="00995133" w:rsidP="0011620A">
      <w:pPr>
        <w:rPr>
          <w:rFonts w:ascii="Times New Roman" w:hAnsi="Times New Roman" w:cs="Times New Roman"/>
        </w:rPr>
      </w:pPr>
      <w:r>
        <w:rPr>
          <w:rFonts w:ascii="Times New Roman" w:hAnsi="Times New Roman" w:cs="Times New Roman"/>
        </w:rPr>
        <w:t>With these values, the root mean square error of the model fit to 41 data points is 0.37% of the mean inhalation dose/blood level.  This equation is used below to model the combined effects of uncertainties in metabolism rates and tissue/blood partition coefficients.</w:t>
      </w:r>
    </w:p>
    <w:p w:rsidR="005B37F3" w:rsidRDefault="005B37F3" w:rsidP="0011620A">
      <w:pPr>
        <w:rPr>
          <w:rFonts w:ascii="Times New Roman" w:hAnsi="Times New Roman" w:cs="Times New Roman"/>
        </w:rPr>
      </w:pPr>
    </w:p>
    <w:p w:rsidR="005B37F3" w:rsidRDefault="005B37F3" w:rsidP="0011620A">
      <w:pPr>
        <w:rPr>
          <w:rFonts w:ascii="Times New Roman" w:hAnsi="Times New Roman" w:cs="Times New Roman"/>
        </w:rPr>
      </w:pPr>
      <w:r>
        <w:rPr>
          <w:rFonts w:ascii="Times New Roman" w:hAnsi="Times New Roman" w:cs="Times New Roman"/>
        </w:rPr>
        <w:t xml:space="preserve">The oral dose/blood level relationship is similar, but </w:t>
      </w:r>
      <w:r w:rsidR="005E2E5F">
        <w:rPr>
          <w:rFonts w:ascii="Times New Roman" w:hAnsi="Times New Roman" w:cs="Times New Roman"/>
        </w:rPr>
        <w:t>with a modified</w:t>
      </w:r>
      <w:r>
        <w:rPr>
          <w:rFonts w:ascii="Times New Roman" w:hAnsi="Times New Roman" w:cs="Times New Roman"/>
        </w:rPr>
        <w:t xml:space="preserve"> saturable element created </w:t>
      </w:r>
      <w:r w:rsidR="005E2E5F">
        <w:rPr>
          <w:rFonts w:ascii="Times New Roman" w:hAnsi="Times New Roman" w:cs="Times New Roman"/>
        </w:rPr>
        <w:t>to accommodate the upper limit dose/blood level relationship derived in the bounding analysis (</w:t>
      </w:r>
      <w:r w:rsidR="00E67133">
        <w:rPr>
          <w:rFonts w:ascii="Times New Roman" w:hAnsi="Times New Roman" w:cs="Times New Roman"/>
        </w:rPr>
        <w:t xml:space="preserve">see </w:t>
      </w:r>
      <w:r w:rsidR="005E2E5F">
        <w:rPr>
          <w:rFonts w:ascii="Times New Roman" w:hAnsi="Times New Roman" w:cs="Times New Roman"/>
        </w:rPr>
        <w:t>Table III</w:t>
      </w:r>
      <w:r w:rsidR="00E67133">
        <w:rPr>
          <w:rFonts w:ascii="Times New Roman" w:hAnsi="Times New Roman" w:cs="Times New Roman"/>
        </w:rPr>
        <w:t xml:space="preserve"> below, footnote c</w:t>
      </w:r>
      <w:r w:rsidR="005E2E5F">
        <w:rPr>
          <w:rFonts w:ascii="Times New Roman" w:hAnsi="Times New Roman" w:cs="Times New Roman"/>
        </w:rPr>
        <w:t>)</w:t>
      </w:r>
      <w:r w:rsidR="00FB090E">
        <w:rPr>
          <w:rFonts w:ascii="Times New Roman" w:hAnsi="Times New Roman" w:cs="Times New Roman"/>
        </w:rPr>
        <w:t>.</w:t>
      </w:r>
    </w:p>
    <w:p w:rsidR="009A6219" w:rsidRDefault="009A6219" w:rsidP="00995133">
      <w:pPr>
        <w:rPr>
          <w:rFonts w:ascii="Times New Roman" w:hAnsi="Times New Roman" w:cs="Times New Roman"/>
        </w:rPr>
      </w:pPr>
    </w:p>
    <w:p w:rsidR="00995133" w:rsidRDefault="00995133" w:rsidP="00995133">
      <w:pPr>
        <w:pStyle w:val="Heading2"/>
      </w:pPr>
      <w:bookmarkStart w:id="4" w:name="_Toc223068336"/>
      <w:r>
        <w:t>2.2.  Combining Uncertainty Distributions from Various Sources</w:t>
      </w:r>
      <w:bookmarkEnd w:id="4"/>
      <w:r>
        <w:t xml:space="preserve"> </w:t>
      </w:r>
    </w:p>
    <w:p w:rsidR="00995133" w:rsidRDefault="00995133" w:rsidP="00995133">
      <w:pPr>
        <w:pStyle w:val="Body2"/>
      </w:pPr>
      <w:r>
        <w:t xml:space="preserve">For each of our four sources of information (j = 1-4) we derive a probability distribution </w:t>
      </w:r>
      <w:r w:rsidRPr="00713043">
        <w:t>P</w:t>
      </w:r>
      <w:r w:rsidRPr="00E4173C">
        <w:rPr>
          <w:vertAlign w:val="subscript"/>
        </w:rPr>
        <w:t>j</w:t>
      </w:r>
      <w:r>
        <w:t>(i) that gives the probability that a median pregnant woman would have the value of that ratio in the small incremental range i based only on that source of data.  We then combine the probability density functions into “posterior” distributions that represent inferences drawn from more than one data source.  The formula for doing so is the standard form for conditioning (Bedford and Cooke</w:t>
      </w:r>
      <w:r w:rsidRPr="00C641B9">
        <w:t xml:space="preserve"> </w:t>
      </w:r>
      <w:r w:rsidR="007A3FCF">
        <w:fldChar w:fldCharType="begin"/>
      </w:r>
      <w:r w:rsidR="00FC54EA">
        <w:instrText xml:space="preserve"> ADDIN EN.CITE &lt;EndNote&gt;&lt;Cite&gt;&lt;Author&gt;Bedford&lt;/Author&gt;&lt;Year&gt;2001&lt;/Year&gt;&lt;RecNum&gt;234&lt;/RecNum&gt;&lt;DisplayText&gt;&lt;style face="superscript"&gt;(13)&lt;/style&gt;&lt;/DisplayText&gt;&lt;record&gt;&lt;rec-number&gt;234&lt;/rec-number&gt;&lt;foreign-keys&gt;&lt;key app="EN" db-id="apt5x9twmavw5feppw2p0x27wdvz92ez0va2"&gt;234&lt;/key&gt;&lt;/foreign-keys&gt;&lt;ref-type name="Book"&gt;6&lt;/ref-type&gt;&lt;contributors&gt;&lt;authors&gt;&lt;author&gt;Bedford, T, Cooke, R&lt;/author&gt;&lt;/authors&gt;&lt;/contributors&gt;&lt;titles&gt;&lt;title&gt;Probabilistic Risk Analysis:  Foundations and Methods&lt;/title&gt;&lt;/titles&gt;&lt;dates&gt;&lt;year&gt;2001&lt;/year&gt;&lt;/dates&gt;&lt;pub-location&gt;Cambridge, UK&lt;/pub-location&gt;&lt;publisher&gt;Cambridge University Press&lt;/publisher&gt;&lt;urls&gt;&lt;/urls&gt;&lt;/record&gt;&lt;/Cite&gt;&lt;/EndNote&gt;</w:instrText>
      </w:r>
      <w:r w:rsidR="007A3FCF">
        <w:fldChar w:fldCharType="separate"/>
      </w:r>
      <w:r w:rsidR="00FC54EA" w:rsidRPr="00FC54EA">
        <w:rPr>
          <w:noProof/>
          <w:vertAlign w:val="superscript"/>
        </w:rPr>
        <w:t>(</w:t>
      </w:r>
      <w:hyperlink w:anchor="_ENREF_13" w:tooltip="Bedford, 2001 #234" w:history="1">
        <w:r w:rsidR="00FC54EA" w:rsidRPr="00FC54EA">
          <w:rPr>
            <w:noProof/>
            <w:vertAlign w:val="superscript"/>
          </w:rPr>
          <w:t>13</w:t>
        </w:r>
      </w:hyperlink>
      <w:r w:rsidR="00FC54EA" w:rsidRPr="00FC54EA">
        <w:rPr>
          <w:noProof/>
          <w:vertAlign w:val="superscript"/>
        </w:rPr>
        <w:t>)</w:t>
      </w:r>
      <w:r w:rsidR="007A3FCF">
        <w:fldChar w:fldCharType="end"/>
      </w:r>
      <w:r>
        <w:t xml:space="preserve"> pp. 65-66) where the products include </w:t>
      </w:r>
      <w:r w:rsidR="00417E2E">
        <w:t>the “prior” (</w:t>
      </w:r>
      <w:r>
        <w:t>j =1</w:t>
      </w:r>
      <w:r w:rsidR="00417E2E">
        <w:t>)</w:t>
      </w:r>
      <w:r>
        <w:t xml:space="preserve"> and whatever other sources </w:t>
      </w:r>
      <w:r w:rsidR="00417E2E">
        <w:t xml:space="preserve">of information </w:t>
      </w:r>
      <w:r>
        <w:t xml:space="preserve">are being combined.  </w:t>
      </w:r>
    </w:p>
    <w:p w:rsidR="00995133" w:rsidRDefault="00995133" w:rsidP="00995133">
      <w:pPr>
        <w:pStyle w:val="Body2"/>
      </w:pPr>
      <w:r w:rsidRPr="00204095">
        <w:rPr>
          <w:position w:val="-86"/>
        </w:rPr>
        <w:object w:dxaOrig="3840" w:dyaOrig="1500">
          <v:shape id="_x0000_i1028" type="#_x0000_t75" style="width:192pt;height:75pt" o:ole="">
            <v:imagedata r:id="rId15" o:title=""/>
          </v:shape>
          <o:OLEObject Type="Embed" ProgID="Equation.3" ShapeID="_x0000_i1028" DrawAspect="Content" ObjectID="_1424520305" r:id="rId16"/>
        </w:object>
      </w:r>
    </w:p>
    <w:p w:rsidR="00995133" w:rsidRDefault="00995133" w:rsidP="00995133">
      <w:pPr>
        <w:pStyle w:val="Body2"/>
      </w:pPr>
      <w:r w:rsidRPr="00E4173C">
        <w:rPr>
          <w:rFonts w:cs="Times New Roman"/>
        </w:rPr>
        <w:t>The de</w:t>
      </w:r>
      <w:r>
        <w:rPr>
          <w:rFonts w:cs="Times New Roman"/>
        </w:rPr>
        <w:t>no</w:t>
      </w:r>
      <w:r w:rsidRPr="00E4173C">
        <w:rPr>
          <w:rFonts w:cs="Times New Roman"/>
        </w:rPr>
        <w:t xml:space="preserve">minator </w:t>
      </w:r>
      <w:r>
        <w:rPr>
          <w:rFonts w:cs="Times New Roman"/>
        </w:rPr>
        <w:t xml:space="preserve">of this function </w:t>
      </w:r>
      <w:r w:rsidRPr="00E4173C">
        <w:rPr>
          <w:rFonts w:cs="Times New Roman"/>
        </w:rPr>
        <w:t>essentially normalizes the individual probability estimates to 1 by summing the combined probability products in the numerator over all the i intervals that are considered remotely possible. </w:t>
      </w:r>
    </w:p>
    <w:p w:rsidR="00995133" w:rsidRPr="00D6407B" w:rsidRDefault="00995133" w:rsidP="00995133"/>
    <w:p w:rsidR="00702160" w:rsidRDefault="00702160" w:rsidP="00746979">
      <w:pPr>
        <w:pStyle w:val="Heading2"/>
      </w:pPr>
      <w:bookmarkStart w:id="5" w:name="_Toc223068337"/>
      <w:r>
        <w:lastRenderedPageBreak/>
        <w:t>2.</w:t>
      </w:r>
      <w:r w:rsidR="00D3590C">
        <w:t>3</w:t>
      </w:r>
      <w:r w:rsidR="00D6407B">
        <w:t xml:space="preserve">  </w:t>
      </w:r>
      <w:r>
        <w:t>Deriving Probability Distributions for Each Source of Information</w:t>
      </w:r>
      <w:bookmarkEnd w:id="5"/>
    </w:p>
    <w:p w:rsidR="00B92EF1" w:rsidRDefault="00702160" w:rsidP="00AB180D">
      <w:pPr>
        <w:pStyle w:val="Body2"/>
      </w:pPr>
      <w:r>
        <w:t xml:space="preserve">Limitations on the length of the manuscript preclude a detailed discussion of the derivation of uncertainty distributions from each of the four types of information inputs.   This is </w:t>
      </w:r>
      <w:r w:rsidR="00C17E39">
        <w:t>provided</w:t>
      </w:r>
      <w:r>
        <w:t xml:space="preserve"> in supplemental information available via our website</w:t>
      </w:r>
      <w:r w:rsidR="002E0BB5">
        <w:t xml:space="preserve"> (</w:t>
      </w:r>
      <w:r w:rsidR="00E23C91">
        <w:t>http://www2.clarku.edu/faculty/dhattis</w:t>
      </w:r>
      <w:r w:rsidR="002E0BB5">
        <w:t>)</w:t>
      </w:r>
      <w:r>
        <w:t>. Instead, we describe here the kind</w:t>
      </w:r>
      <w:r w:rsidR="00D92659">
        <w:t xml:space="preserve">s of uncertainties included in </w:t>
      </w:r>
      <w:r>
        <w:t xml:space="preserve">interpreting information from each source, some specific inputs to the uncertainties that may possibly be useful in other analyses, and the general way we derived probability density functions from each type of input. </w:t>
      </w:r>
    </w:p>
    <w:p w:rsidR="00702160" w:rsidRDefault="00B92EF1" w:rsidP="00AB180D">
      <w:pPr>
        <w:pStyle w:val="Body2"/>
      </w:pPr>
      <w:r>
        <w:t>Where non-detect values were present in primary data, imputations of mean values for the non-detects were done by fitting lognormal distributions to the data above the non-detect limits.</w:t>
      </w:r>
      <w:r w:rsidR="00702160">
        <w:t xml:space="preserve"> </w:t>
      </w:r>
      <w:r w:rsidR="00AA42D2">
        <w:t xml:space="preserve"> This was needed only in the case of the Kisicki et al. data.</w:t>
      </w:r>
    </w:p>
    <w:p w:rsidR="00826099" w:rsidRDefault="00345C23" w:rsidP="00826099">
      <w:pPr>
        <w:pStyle w:val="Body2"/>
      </w:pPr>
      <w:r>
        <w:t>The very different functional forms of the relationship between liver metabolism rate and dose/blood level ratios for ingestion vs inhalation rout</w:t>
      </w:r>
      <w:r w:rsidR="00BF3B6F">
        <w:t>es of absorption led to appreci</w:t>
      </w:r>
      <w:r>
        <w:t>able differences in our approaches for quantifying the P(i)s based on different input information.</w:t>
      </w:r>
      <w:r w:rsidR="00BF3B6F">
        <w:t xml:space="preserve">   In the case of ingestion, where the uncertainty distributions</w:t>
      </w:r>
      <w:r w:rsidR="00AC3905">
        <w:t xml:space="preserve"> derived from sources other than the truncated prior</w:t>
      </w:r>
      <w:r w:rsidR="00BF3B6F">
        <w:t xml:space="preserve"> are well described as lognormal</w:t>
      </w:r>
      <w:r w:rsidR="00E94661">
        <w:t xml:space="preserve"> (See Figure</w:t>
      </w:r>
      <w:r w:rsidR="00E61B9B">
        <w:t xml:space="preserve"> 2), P(i)s are simply</w:t>
      </w:r>
      <w:r w:rsidR="00BF3B6F">
        <w:t xml:space="preserve"> calculated in log increments from the fraction of a lognormal distribution falling between the bounds of each interval.  </w:t>
      </w:r>
      <w:r w:rsidR="00E61B9B">
        <w:t>By contrast, for the inhalation case, where the saturation-type relationship to metabolic rates yields uncertainty distributions that are not well described as either lognormal or normal</w:t>
      </w:r>
      <w:r w:rsidR="00E94661">
        <w:t xml:space="preserve"> (See Figure 3)</w:t>
      </w:r>
      <w:r w:rsidR="00E61B9B">
        <w:t xml:space="preserve">, we use empirical distributions derived from 100 X 100 combinations of pharmacokinetic model outputs representing </w:t>
      </w:r>
      <w:r w:rsidR="00E94661">
        <w:t xml:space="preserve">probabilistically equal </w:t>
      </w:r>
      <w:r w:rsidR="0036313A">
        <w:t xml:space="preserve">fractiles in the </w:t>
      </w:r>
      <w:r w:rsidR="00E61B9B">
        <w:t>uncertainties in both metabolic rates inferred from different information sources and uncertainties in partition coefficients.</w:t>
      </w:r>
      <w:r w:rsidR="00E94661">
        <w:t xml:space="preserve"> </w:t>
      </w:r>
    </w:p>
    <w:p w:rsidR="009A42D4" w:rsidRDefault="002430C4" w:rsidP="00AB180D">
      <w:pPr>
        <w:pStyle w:val="Body2"/>
      </w:pPr>
      <w:r>
        <w:t>Table I</w:t>
      </w:r>
      <w:r w:rsidR="00090043">
        <w:t xml:space="preserve"> </w:t>
      </w:r>
      <w:r w:rsidR="00DC3130">
        <w:t xml:space="preserve">(with details in Tables II-VII) </w:t>
      </w:r>
      <w:r w:rsidR="00090043">
        <w:t>lists the uncertainties that are involved in deriving probability density functions from each of the four sources of information.  It can be seen that some of these are shared between the analyses of different s</w:t>
      </w:r>
      <w:r w:rsidR="00C17E39">
        <w:t>ets</w:t>
      </w:r>
      <w:r w:rsidR="00090043">
        <w:t xml:space="preserve"> of primary data.  Therefore, although each of the primary data sources is independent of the others</w:t>
      </w:r>
      <w:r w:rsidR="000155FA">
        <w:t>, the shared analytical elements mean that the derived density functions are not completely independent.</w:t>
      </w:r>
      <w:r w:rsidR="0067324A">
        <w:t xml:space="preserve">  </w:t>
      </w:r>
    </w:p>
    <w:p w:rsidR="00191DA3" w:rsidRDefault="00191DA3" w:rsidP="00191DA3">
      <w:pPr>
        <w:pStyle w:val="Heading1"/>
      </w:pPr>
      <w:bookmarkStart w:id="6" w:name="_Toc223068338"/>
      <w:r>
        <w:t>3.  Pharmacokinetic Results</w:t>
      </w:r>
      <w:bookmarkEnd w:id="6"/>
      <w:r>
        <w:t xml:space="preserve"> </w:t>
      </w:r>
    </w:p>
    <w:p w:rsidR="00191DA3" w:rsidRDefault="00191DA3" w:rsidP="00191DA3">
      <w:pPr>
        <w:pStyle w:val="Body2"/>
      </w:pPr>
      <w:r>
        <w:t>Table VIII summarizes the effects of the progressive addition of information from various sources to obtain the final results.  It can be seen that with each addition of data, the assessed uncertainty distribution tends to narrow, even if the new data have appreciable differences from the previously analyzed data.  However it can be seen in the comparison between the last line and the second to the last line under the “inhalation dose/blood” section that this is not always the case.  The final combination of all four sources of information has a slightly larger GSD than the combination of three sources excluding the Nolan information.  The final assessments indicate that the uncertainties are modest enough for the results to be useable—with 2.5-97.5 fractile ranges spanning about 2.6 fold for oral absorption and 1.5 fold for inhalation absorption.</w:t>
      </w:r>
    </w:p>
    <w:p w:rsidR="00C321DA" w:rsidRDefault="00C321DA" w:rsidP="00AB180D">
      <w:pPr>
        <w:pStyle w:val="Body2"/>
      </w:pPr>
      <w:r>
        <w:br w:type="page"/>
      </w:r>
    </w:p>
    <w:p w:rsidR="00C321DA" w:rsidRDefault="00C321DA" w:rsidP="00AB180D">
      <w:pPr>
        <w:pStyle w:val="Body2"/>
      </w:pPr>
    </w:p>
    <w:p w:rsidR="00C321DA" w:rsidRDefault="00C321DA" w:rsidP="00AB180D">
      <w:pPr>
        <w:pStyle w:val="Body2"/>
      </w:pPr>
    </w:p>
    <w:p w:rsidR="00C321DA" w:rsidRDefault="00515975" w:rsidP="00515975">
      <w:pPr>
        <w:pStyle w:val="Body2"/>
        <w:jc w:val="center"/>
      </w:pPr>
      <w:r>
        <w:rPr>
          <w:noProof/>
          <w:lang w:eastAsia="en-US"/>
        </w:rPr>
        <w:drawing>
          <wp:inline distT="0" distB="0" distL="0" distR="0">
            <wp:extent cx="4741968" cy="3574438"/>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a:stretch>
                      <a:fillRect/>
                    </a:stretch>
                  </pic:blipFill>
                  <pic:spPr>
                    <a:xfrm>
                      <a:off x="0" y="0"/>
                      <a:ext cx="4742645" cy="3574949"/>
                    </a:xfrm>
                    <a:prstGeom prst="rect">
                      <a:avLst/>
                    </a:prstGeom>
                  </pic:spPr>
                </pic:pic>
              </a:graphicData>
            </a:graphic>
          </wp:inline>
        </w:drawing>
      </w:r>
    </w:p>
    <w:p w:rsidR="00C321DA" w:rsidRDefault="00C321DA" w:rsidP="00AB180D">
      <w:pPr>
        <w:pStyle w:val="Body2"/>
      </w:pPr>
    </w:p>
    <w:p w:rsidR="00A52568" w:rsidRDefault="00C321DA" w:rsidP="00A52568">
      <w:pPr>
        <w:pStyle w:val="Body2"/>
        <w:rPr>
          <w:rFonts w:cs="Times New Roman"/>
        </w:rPr>
      </w:pPr>
      <w:r>
        <w:rPr>
          <w:rFonts w:cs="Times New Roman"/>
          <w:b/>
        </w:rPr>
        <w:t xml:space="preserve">Fig. 2. </w:t>
      </w:r>
      <w:r>
        <w:rPr>
          <w:rFonts w:cs="Times New Roman"/>
        </w:rPr>
        <w:t xml:space="preserve">Lognormal plot of </w:t>
      </w:r>
      <w:r w:rsidR="00A52568">
        <w:rPr>
          <w:rFonts w:cs="Times New Roman"/>
        </w:rPr>
        <w:t xml:space="preserve">the cumulative probability density function </w:t>
      </w:r>
      <w:r w:rsidR="00BB27AA">
        <w:rPr>
          <w:rFonts w:cs="Times New Roman"/>
        </w:rPr>
        <w:t xml:space="preserve">for the ingestion dose/blood level ratio </w:t>
      </w:r>
      <w:r w:rsidR="00A52568">
        <w:rPr>
          <w:rFonts w:cs="Times New Roman"/>
        </w:rPr>
        <w:t>resulting from all combinations of 100 equal-probability weighted values of metabo</w:t>
      </w:r>
      <w:r w:rsidR="0045236D">
        <w:rPr>
          <w:rFonts w:cs="Times New Roman"/>
        </w:rPr>
        <w:t>lism rate (derived from the Kis</w:t>
      </w:r>
      <w:r w:rsidR="00A52568">
        <w:rPr>
          <w:rFonts w:cs="Times New Roman"/>
        </w:rPr>
        <w:t>icki observations) and 100 equal probability weighted values of the liver and other tissue/blood partition coefficients derived based on lipophilicity information</w:t>
      </w:r>
      <w:r w:rsidR="004565DA">
        <w:rPr>
          <w:rFonts w:cs="Times New Roman"/>
        </w:rPr>
        <w:t xml:space="preserve"> for pregnant women from Lowe et al. (2009) and other sources.  The line represents a fitted lognormal distribution, which reasonably describes the plotted points</w:t>
      </w:r>
      <w:r w:rsidR="00515975">
        <w:rPr>
          <w:rFonts w:cs="Times New Roman"/>
        </w:rPr>
        <w:t xml:space="preserve"> over the central ± 3 standard deviation range of Z-Scores</w:t>
      </w:r>
      <w:r w:rsidR="004565DA">
        <w:rPr>
          <w:rFonts w:cs="Times New Roman"/>
        </w:rPr>
        <w:t>.</w:t>
      </w:r>
    </w:p>
    <w:p w:rsidR="00A52568" w:rsidRDefault="00A52568" w:rsidP="00A52568">
      <w:pPr>
        <w:pStyle w:val="Body2"/>
        <w:rPr>
          <w:rFonts w:cs="Times New Roman"/>
        </w:rPr>
      </w:pPr>
    </w:p>
    <w:p w:rsidR="00A52568" w:rsidRDefault="00A52568" w:rsidP="00A52568">
      <w:pPr>
        <w:pStyle w:val="Body2"/>
        <w:rPr>
          <w:rFonts w:cs="Times New Roman"/>
        </w:rPr>
      </w:pPr>
    </w:p>
    <w:p w:rsidR="00A52568" w:rsidRDefault="00A52568" w:rsidP="00A52568">
      <w:pPr>
        <w:pStyle w:val="Body2"/>
        <w:rPr>
          <w:rFonts w:cs="Times New Roman"/>
        </w:rPr>
      </w:pPr>
      <w:r>
        <w:rPr>
          <w:rFonts w:cs="Times New Roman"/>
        </w:rPr>
        <w:br w:type="page"/>
      </w:r>
    </w:p>
    <w:p w:rsidR="00A52568" w:rsidRDefault="00A52568" w:rsidP="00A52568">
      <w:pPr>
        <w:pStyle w:val="Body2"/>
        <w:rPr>
          <w:rFonts w:cs="Times New Roman"/>
        </w:rPr>
      </w:pPr>
    </w:p>
    <w:p w:rsidR="0014452C" w:rsidRDefault="00A52568" w:rsidP="004565DA">
      <w:pPr>
        <w:pStyle w:val="Body2"/>
        <w:jc w:val="center"/>
        <w:rPr>
          <w:rFonts w:cs="Times New Roman"/>
        </w:rPr>
      </w:pPr>
      <w:r>
        <w:rPr>
          <w:noProof/>
          <w:lang w:eastAsia="en-US"/>
        </w:rPr>
        <w:drawing>
          <wp:inline distT="0" distB="0" distL="0" distR="0">
            <wp:extent cx="4881668" cy="376531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a:stretch>
                      <a:fillRect/>
                    </a:stretch>
                  </pic:blipFill>
                  <pic:spPr>
                    <a:xfrm>
                      <a:off x="0" y="0"/>
                      <a:ext cx="4881934" cy="3765524"/>
                    </a:xfrm>
                    <a:prstGeom prst="rect">
                      <a:avLst/>
                    </a:prstGeom>
                  </pic:spPr>
                </pic:pic>
              </a:graphicData>
            </a:graphic>
          </wp:inline>
        </w:drawing>
      </w:r>
    </w:p>
    <w:p w:rsidR="00A52568" w:rsidRDefault="00A52568" w:rsidP="00A52568">
      <w:pPr>
        <w:pStyle w:val="Body2"/>
        <w:rPr>
          <w:rFonts w:cs="Times New Roman"/>
        </w:rPr>
      </w:pPr>
    </w:p>
    <w:p w:rsidR="00A52568" w:rsidRPr="00A52568" w:rsidRDefault="00A52568" w:rsidP="00A52568">
      <w:pPr>
        <w:pStyle w:val="Body2"/>
        <w:sectPr w:rsidR="00A52568" w:rsidRPr="00A52568" w:rsidSect="00DD7C69">
          <w:footerReference w:type="even" r:id="rId19"/>
          <w:footerReference w:type="default" r:id="rId20"/>
          <w:pgSz w:w="12240" w:h="15840"/>
          <w:pgMar w:top="1440" w:right="1440" w:bottom="1440" w:left="1440" w:header="720" w:footer="720" w:gutter="0"/>
          <w:cols w:space="720"/>
          <w:titlePg/>
        </w:sectPr>
      </w:pPr>
      <w:r>
        <w:rPr>
          <w:rFonts w:cs="Times New Roman"/>
          <w:b/>
        </w:rPr>
        <w:t xml:space="preserve">Fig. 3. </w:t>
      </w:r>
      <w:r>
        <w:rPr>
          <w:rFonts w:cs="Times New Roman"/>
        </w:rPr>
        <w:t xml:space="preserve">Lognormal plot of the cumulative probability density function for </w:t>
      </w:r>
      <w:r w:rsidR="004565DA">
        <w:rPr>
          <w:rFonts w:cs="Times New Roman"/>
        </w:rPr>
        <w:t xml:space="preserve">the inhalation dose/blood level ratio </w:t>
      </w:r>
      <w:r>
        <w:rPr>
          <w:rFonts w:cs="Times New Roman"/>
        </w:rPr>
        <w:t xml:space="preserve">resulting from all combinations of 100 equal-probability weighted values of metabolism rate (derived from the Kiskicki observations) and 100 equal probability weighted values of the liver and other tissue/blood partition coefficients derived based on </w:t>
      </w:r>
      <w:r w:rsidR="004565DA">
        <w:rPr>
          <w:rFonts w:cs="Times New Roman"/>
        </w:rPr>
        <w:t xml:space="preserve">blood </w:t>
      </w:r>
      <w:r>
        <w:rPr>
          <w:rFonts w:cs="Times New Roman"/>
        </w:rPr>
        <w:t>lipophilicity information</w:t>
      </w:r>
      <w:r w:rsidR="004565DA">
        <w:rPr>
          <w:rFonts w:cs="Times New Roman"/>
        </w:rPr>
        <w:t xml:space="preserve"> for pregnant women from Lowe et al. (2009) and other sources.  </w:t>
      </w:r>
      <w:r w:rsidR="00BB27AA">
        <w:rPr>
          <w:rFonts w:cs="Times New Roman"/>
        </w:rPr>
        <w:t>It can be seen that the lognormal hypothesis fits the distribution poorly, necessitating use of the distribution in empirical form.</w:t>
      </w:r>
      <w:r w:rsidR="00BB27AA" w:rsidRPr="00663C29">
        <w:rPr>
          <w:rFonts w:cs="Times New Roman"/>
        </w:rPr>
        <w:t xml:space="preserve"> </w:t>
      </w:r>
      <w:r w:rsidR="00632CC3">
        <w:rPr>
          <w:rFonts w:cs="Times New Roman"/>
        </w:rPr>
        <w:t>The discrepancy is smaller, but still pronounced, for a similar plot constructed based on the uncertainty in liver metabolic rate derived from the Nolan observations.</w:t>
      </w:r>
    </w:p>
    <w:p w:rsidR="00FF5F14" w:rsidRDefault="00E93708" w:rsidP="00FF5F14">
      <w:pPr>
        <w:pStyle w:val="Body"/>
        <w:pBdr>
          <w:bottom w:val="single" w:sz="24" w:space="1" w:color="auto"/>
        </w:pBdr>
        <w:jc w:val="center"/>
      </w:pPr>
      <w:r>
        <w:rPr>
          <w:b/>
        </w:rPr>
        <w:lastRenderedPageBreak/>
        <w:t xml:space="preserve">Table I. </w:t>
      </w:r>
      <w:r w:rsidR="008C7297">
        <w:t>Shared Uncertainties in Analyses of</w:t>
      </w:r>
      <w:r>
        <w:t xml:space="preserve"> Each of the Four Sources of Primary Information on CPF External </w:t>
      </w:r>
      <w:r w:rsidR="00FF5F14">
        <w:t>Dose/Blood Level Ratios</w:t>
      </w:r>
    </w:p>
    <w:tbl>
      <w:tblPr>
        <w:tblW w:w="15315" w:type="dxa"/>
        <w:tblInd w:w="93" w:type="dxa"/>
        <w:tblLayout w:type="fixed"/>
        <w:tblLook w:val="04A0"/>
      </w:tblPr>
      <w:tblGrid>
        <w:gridCol w:w="2027"/>
        <w:gridCol w:w="3838"/>
        <w:gridCol w:w="2880"/>
        <w:gridCol w:w="3240"/>
        <w:gridCol w:w="3330"/>
      </w:tblGrid>
      <w:tr w:rsidR="00FF5F14" w:rsidRPr="00AD3E6A" w:rsidTr="00930BB9">
        <w:trPr>
          <w:trHeight w:val="20"/>
        </w:trPr>
        <w:tc>
          <w:tcPr>
            <w:tcW w:w="202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Primary Information Source</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C54EA">
            <w:pPr>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"Prior" Bounding Analysis</w:t>
            </w:r>
            <w:r w:rsidR="002E0BB5">
              <w:rPr>
                <w:rFonts w:ascii="Times New Roman" w:eastAsia="Times New Roman" w:hAnsi="Times New Roman" w:cs="Times New Roman"/>
                <w:sz w:val="28"/>
                <w:szCs w:val="28"/>
                <w:vertAlign w:val="superscript"/>
                <w:lang w:eastAsia="en-US"/>
              </w:rPr>
              <w:t>a</w:t>
            </w:r>
            <w:r w:rsidRPr="00AD3E6A">
              <w:rPr>
                <w:rFonts w:ascii="Times New Roman" w:eastAsia="Times New Roman" w:hAnsi="Times New Roman" w:cs="Times New Roman"/>
                <w:color w:val="000000"/>
                <w:sz w:val="20"/>
                <w:szCs w:val="20"/>
                <w:lang w:eastAsia="en-US"/>
              </w:rPr>
              <w:t xml:space="preserve"> of Inhaled CPF Dose and Metabolite Excretion/Blood Levels in Columbia University Cohort</w:t>
            </w:r>
            <w:r w:rsidR="00315B7E">
              <w:t xml:space="preserve"> </w:t>
            </w:r>
            <w:r w:rsidR="007A3FCF">
              <w:rPr>
                <w:rFonts w:ascii="Times New Roman" w:eastAsia="Times New Roman" w:hAnsi="Times New Roman" w:cs="Times New Roman"/>
                <w:color w:val="000000"/>
                <w:sz w:val="20"/>
                <w:szCs w:val="20"/>
                <w:lang w:eastAsia="en-US"/>
              </w:rPr>
              <w:fldChar w:fldCharType="begin"/>
            </w:r>
            <w:r w:rsidR="007E2847">
              <w:rPr>
                <w:rFonts w:ascii="Times New Roman" w:eastAsia="Times New Roman" w:hAnsi="Times New Roman" w:cs="Times New Roman"/>
                <w:color w:val="000000"/>
                <w:sz w:val="20"/>
                <w:szCs w:val="20"/>
                <w:lang w:eastAsia="en-US"/>
              </w:rPr>
              <w:instrText xml:space="preserve"> ADDIN EN.CITE &lt;EndNote&gt;&lt;Cite&gt;&lt;Author&gt;Rauh&lt;/Author&gt;&lt;Year&gt;2011&lt;/Year&gt;&lt;RecNum&gt;90&lt;/RecNum&gt;&lt;DisplayText&gt;&lt;style face="superscript"&gt;(2)&lt;/style&gt;&lt;/DisplayText&gt;&lt;record&gt;&lt;rec-number&gt;90&lt;/rec-number&gt;&lt;foreign-keys&gt;&lt;key app="EN" db-id="apt5x9twmavw5feppw2p0x27wdvz92ez0va2"&gt;90&lt;/key&gt;&lt;/foreign-keys&gt;&lt;ref-type name="Journal Article"&gt;17&lt;/ref-type&gt;&lt;contributors&gt;&lt;authors&gt;&lt;author&gt;Rauh, V.&lt;/author&gt;&lt;author&gt;Arunajadai, S.&lt;/author&gt;&lt;author&gt;Horton, M.&lt;/author&gt;&lt;author&gt;Perera, F.&lt;/author&gt;&lt;author&gt;Hoepner, L.&lt;/author&gt;&lt;author&gt;Barr, D. B.&lt;/author&gt;&lt;author&gt;Whyatt, R.&lt;/author&gt;&lt;/authors&gt;&lt;/contributors&gt;&lt;auth-address&gt;Heilbrunn Center for Population and Family Health, Mailman School of Public Health.&lt;/auth-address&gt;&lt;titles&gt;&lt;title&gt;Seven-year neurodevelopmental scores and prenatal exposure to chlorpyrifos, a common agricultural pesticide&lt;/title&gt;&lt;secondary-title&gt;Environ Health Perspect&lt;/secondary-title&gt;&lt;/titles&gt;&lt;periodical&gt;&lt;full-title&gt;Environ Health Perspect&lt;/full-title&gt;&lt;/periodical&gt;&lt;pages&gt;1196-201&lt;/pages&gt;&lt;volume&gt;119&lt;/volume&gt;&lt;number&gt;8&lt;/number&gt;&lt;edition&gt;2011/04/22&lt;/edition&gt;&lt;dates&gt;&lt;year&gt;2011&lt;/year&gt;&lt;pub-dates&gt;&lt;date&gt;Aug&lt;/date&gt;&lt;/pub-dates&gt;&lt;/dates&gt;&lt;isbn&gt;1552-9924 (Electronic)&amp;#xD;0091-6765 (Linking)&lt;/isbn&gt;&lt;accession-num&gt;21507777&lt;/accession-num&gt;&lt;urls&gt;&lt;related-urls&gt;&lt;url&gt;http://www.ncbi.nlm.nih.gov/entrez/query.fcgi?cmd=Retrieve&amp;amp;db=PubMed&amp;amp;dopt=Citation&amp;amp;list_uids=21507777&lt;/url&gt;&lt;/related-urls&gt;&lt;/urls&gt;&lt;electronic-resource-num&gt;10.1289/ehp.1003160&lt;/electronic-resource-num&gt;&lt;language&gt;eng&lt;/language&gt;&lt;/record&gt;&lt;/Cite&gt;&lt;/EndNote&gt;</w:instrText>
            </w:r>
            <w:r w:rsidR="007A3FCF">
              <w:rPr>
                <w:rFonts w:ascii="Times New Roman" w:eastAsia="Times New Roman" w:hAnsi="Times New Roman" w:cs="Times New Roman"/>
                <w:color w:val="000000"/>
                <w:sz w:val="20"/>
                <w:szCs w:val="20"/>
                <w:lang w:eastAsia="en-US"/>
              </w:rPr>
              <w:fldChar w:fldCharType="separate"/>
            </w:r>
            <w:r w:rsidR="007E2847" w:rsidRPr="007E2847">
              <w:rPr>
                <w:rFonts w:ascii="Times New Roman" w:eastAsia="Times New Roman" w:hAnsi="Times New Roman" w:cs="Times New Roman"/>
                <w:noProof/>
                <w:color w:val="000000"/>
                <w:sz w:val="20"/>
                <w:szCs w:val="20"/>
                <w:vertAlign w:val="superscript"/>
                <w:lang w:eastAsia="en-US"/>
              </w:rPr>
              <w:t>(</w:t>
            </w:r>
            <w:hyperlink w:anchor="_ENREF_2" w:tooltip="Rauh, 2011 #90" w:history="1">
              <w:r w:rsidR="00FC54EA" w:rsidRPr="007E2847">
                <w:rPr>
                  <w:rFonts w:ascii="Times New Roman" w:eastAsia="Times New Roman" w:hAnsi="Times New Roman" w:cs="Times New Roman"/>
                  <w:noProof/>
                  <w:color w:val="000000"/>
                  <w:sz w:val="20"/>
                  <w:szCs w:val="20"/>
                  <w:vertAlign w:val="superscript"/>
                  <w:lang w:eastAsia="en-US"/>
                </w:rPr>
                <w:t>2</w:t>
              </w:r>
            </w:hyperlink>
            <w:r w:rsidR="007E2847" w:rsidRPr="007E2847">
              <w:rPr>
                <w:rFonts w:ascii="Times New Roman" w:eastAsia="Times New Roman" w:hAnsi="Times New Roman" w:cs="Times New Roman"/>
                <w:noProof/>
                <w:color w:val="000000"/>
                <w:sz w:val="20"/>
                <w:szCs w:val="20"/>
                <w:vertAlign w:val="superscript"/>
                <w:lang w:eastAsia="en-US"/>
              </w:rPr>
              <w:t>)</w:t>
            </w:r>
            <w:r w:rsidR="007A3FCF">
              <w:rPr>
                <w:rFonts w:ascii="Times New Roman" w:eastAsia="Times New Roman" w:hAnsi="Times New Roman" w:cs="Times New Roman"/>
                <w:color w:val="000000"/>
                <w:sz w:val="20"/>
                <w:szCs w:val="20"/>
                <w:lang w:eastAsia="en-US"/>
              </w:rPr>
              <w:fldChar w:fldCharType="end"/>
            </w:r>
            <w:r w:rsidRPr="00AD3E6A">
              <w:rPr>
                <w:rFonts w:ascii="Times New Roman" w:eastAsia="Times New Roman" w:hAnsi="Times New Roman" w:cs="Times New Roman"/>
                <w:color w:val="000000"/>
                <w:sz w:val="20"/>
                <w:szCs w:val="20"/>
                <w:lang w:eastAsia="en-US"/>
              </w:rPr>
              <w:t xml:space="preserve"> Women</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C54EA">
            <w:pPr>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 xml:space="preserve">Metabolism Rates of CPF in Vitro by Liver Microsomes </w:t>
            </w:r>
            <w:r w:rsidR="007A3FCF">
              <w:rPr>
                <w:rFonts w:ascii="Times New Roman" w:eastAsia="Times New Roman" w:hAnsi="Times New Roman" w:cs="Times New Roman"/>
                <w:color w:val="000000"/>
                <w:sz w:val="20"/>
                <w:szCs w:val="20"/>
                <w:lang w:eastAsia="en-US"/>
              </w:rPr>
              <w:fldChar w:fldCharType="begin"/>
            </w:r>
            <w:r w:rsidR="00FC54EA">
              <w:rPr>
                <w:rFonts w:ascii="Times New Roman" w:eastAsia="Times New Roman" w:hAnsi="Times New Roman" w:cs="Times New Roman"/>
                <w:color w:val="000000"/>
                <w:sz w:val="20"/>
                <w:szCs w:val="20"/>
                <w:lang w:eastAsia="en-US"/>
              </w:rPr>
              <w:instrText xml:space="preserve"> ADDIN EN.CITE &lt;EndNote&gt;&lt;Cite ExcludeYear="1"&gt;&lt;Author&gt;Smith&lt;/Author&gt;&lt;RecNum&gt;80&lt;/RecNum&gt;&lt;DisplayText&gt;&lt;style face="superscript"&gt;(18)&lt;/style&gt;&lt;/DisplayText&gt;&lt;record&gt;&lt;rec-number&gt;80&lt;/rec-number&gt;&lt;foreign-keys&gt;&lt;key app="EN" db-id="apt5x9twmavw5feppw2p0x27wdvz92ez0va2"&gt;80&lt;/key&gt;&lt;/foreign-keys&gt;&lt;ref-type name="Journal Article"&gt;17&lt;/ref-type&gt;&lt;contributors&gt;&lt;authors&gt;&lt;author&gt;Smith, J. N.&lt;/author&gt;&lt;author&gt;Timchalk, C.&lt;/author&gt;&lt;author&gt;Bartels, M. J.&lt;/author&gt;&lt;author&gt;Poet, T. S.&lt;/author&gt;&lt;/authors&gt;&lt;/contributors&gt;&lt;auth-address&gt;Battelle, Pacific Northwest Division, Richland, Washington, USA. jordan.smith@pnl.gov&lt;/auth-address&gt;&lt;titles&gt;&lt;title&gt;In vitro age-dependent enzymatic metabolism of chlorpyrifos and chlorpyrifos-oxon in human hepatic microsomes and chlorpyrifos-oxon in plasma&lt;/title&gt;&lt;secondary-title&gt;Drug Metab Dispos&lt;/secondary-title&gt;&lt;/titles&gt;&lt;periodical&gt;&lt;full-title&gt;Drug Metab Dispos&lt;/full-title&gt;&lt;/periodical&gt;&lt;pages&gt;1353-62&lt;/pages&gt;&lt;volume&gt;39&lt;/volume&gt;&lt;number&gt;8&lt;/number&gt;&lt;edition&gt;2011/04/28&lt;/edition&gt;&lt;dates&gt;&lt;pub-dates&gt;&lt;date&gt;Aug&lt;/date&gt;&lt;/pub-dates&gt;&lt;/dates&gt;&lt;isbn&gt;1521-009X (Electronic)&amp;#xD;0090-9556 (Linking)&lt;/isbn&gt;&lt;accession-num&gt;21521795&lt;/accession-num&gt;&lt;urls&gt;&lt;related-urls&gt;&lt;url&gt;http://www.ncbi.nlm.nih.gov/entrez/query.fcgi?cmd=Retrieve&amp;amp;db=PubMed&amp;amp;dopt=Citation&amp;amp;list_uids=21521795&lt;/url&gt;&lt;/related-urls&gt;&lt;/urls&gt;&lt;electronic-resource-num&gt;dmd.111.038745 [pii]&amp;#xD;10.1124/dmd.111.038745&lt;/electronic-resource-num&gt;&lt;language&gt;eng&lt;/language&gt;&lt;/record&gt;&lt;/Cite&gt;&lt;/EndNote&gt;</w:instrText>
            </w:r>
            <w:r w:rsidR="007A3FCF">
              <w:rPr>
                <w:rFonts w:ascii="Times New Roman" w:eastAsia="Times New Roman" w:hAnsi="Times New Roman" w:cs="Times New Roman"/>
                <w:color w:val="000000"/>
                <w:sz w:val="20"/>
                <w:szCs w:val="20"/>
                <w:lang w:eastAsia="en-US"/>
              </w:rPr>
              <w:fldChar w:fldCharType="separate"/>
            </w:r>
            <w:r w:rsidR="00FC54EA" w:rsidRPr="00FC54EA">
              <w:rPr>
                <w:rFonts w:ascii="Times New Roman" w:eastAsia="Times New Roman" w:hAnsi="Times New Roman" w:cs="Times New Roman"/>
                <w:noProof/>
                <w:color w:val="000000"/>
                <w:sz w:val="20"/>
                <w:szCs w:val="20"/>
                <w:vertAlign w:val="superscript"/>
                <w:lang w:eastAsia="en-US"/>
              </w:rPr>
              <w:t>(</w:t>
            </w:r>
            <w:hyperlink w:anchor="_ENREF_18" w:tooltip="Smith,  #80" w:history="1">
              <w:r w:rsidR="00FC54EA" w:rsidRPr="00FC54EA">
                <w:rPr>
                  <w:rFonts w:ascii="Times New Roman" w:eastAsia="Times New Roman" w:hAnsi="Times New Roman" w:cs="Times New Roman"/>
                  <w:noProof/>
                  <w:color w:val="000000"/>
                  <w:sz w:val="20"/>
                  <w:szCs w:val="20"/>
                  <w:vertAlign w:val="superscript"/>
                  <w:lang w:eastAsia="en-US"/>
                </w:rPr>
                <w:t>18</w:t>
              </w:r>
            </w:hyperlink>
            <w:r w:rsidR="00FC54EA" w:rsidRPr="00FC54EA">
              <w:rPr>
                <w:rFonts w:ascii="Times New Roman" w:eastAsia="Times New Roman" w:hAnsi="Times New Roman" w:cs="Times New Roman"/>
                <w:noProof/>
                <w:color w:val="000000"/>
                <w:sz w:val="20"/>
                <w:szCs w:val="20"/>
                <w:vertAlign w:val="superscript"/>
                <w:lang w:eastAsia="en-US"/>
              </w:rPr>
              <w:t>)</w:t>
            </w:r>
            <w:r w:rsidR="007A3FCF">
              <w:rPr>
                <w:rFonts w:ascii="Times New Roman" w:eastAsia="Times New Roman" w:hAnsi="Times New Roman" w:cs="Times New Roman"/>
                <w:color w:val="000000"/>
                <w:sz w:val="20"/>
                <w:szCs w:val="20"/>
                <w:lang w:eastAsia="en-US"/>
              </w:rPr>
              <w:fldChar w:fldCharType="end"/>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F70BB0" w:rsidRDefault="00FF5F14" w:rsidP="00FC54EA">
            <w:pPr>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Blood Levels (Interpreted as 12 Hour AUCs) and Metabolite Excreti</w:t>
            </w:r>
            <w:r w:rsidR="00B1599E">
              <w:rPr>
                <w:rFonts w:ascii="Times New Roman" w:eastAsia="Times New Roman" w:hAnsi="Times New Roman" w:cs="Times New Roman"/>
                <w:color w:val="000000"/>
                <w:sz w:val="20"/>
                <w:szCs w:val="20"/>
                <w:lang w:eastAsia="en-US"/>
              </w:rPr>
              <w:t>on After a Single CPF Oral Dose</w:t>
            </w:r>
            <w:r w:rsidR="00B1599E" w:rsidRPr="00B1599E">
              <w:rPr>
                <w:rFonts w:ascii="Times New Roman" w:eastAsia="Times New Roman" w:hAnsi="Times New Roman" w:cs="Times New Roman"/>
                <w:color w:val="000000"/>
                <w:sz w:val="20"/>
                <w:szCs w:val="20"/>
                <w:lang w:eastAsia="en-US"/>
              </w:rPr>
              <w:t xml:space="preserve"> </w:t>
            </w:r>
            <w:r w:rsidRPr="00AD3E6A">
              <w:rPr>
                <w:rFonts w:ascii="Times New Roman" w:eastAsia="Times New Roman" w:hAnsi="Times New Roman" w:cs="Times New Roman"/>
                <w:color w:val="000000"/>
                <w:sz w:val="20"/>
                <w:szCs w:val="20"/>
                <w:lang w:eastAsia="en-US"/>
              </w:rPr>
              <w:t>(Nolan et al. 1984)</w:t>
            </w:r>
            <w:r w:rsidR="00B1599E">
              <w:t xml:space="preserve"> </w:t>
            </w:r>
            <w:r w:rsidR="007A3FCF">
              <w:rPr>
                <w:rFonts w:ascii="Times New Roman" w:eastAsia="Times New Roman" w:hAnsi="Times New Roman" w:cs="Times New Roman"/>
                <w:color w:val="000000"/>
                <w:sz w:val="20"/>
                <w:szCs w:val="20"/>
                <w:lang w:eastAsia="en-US"/>
              </w:rPr>
              <w:fldChar w:fldCharType="begin"/>
            </w:r>
            <w:r w:rsidR="00FC54EA">
              <w:rPr>
                <w:rFonts w:ascii="Times New Roman" w:eastAsia="Times New Roman" w:hAnsi="Times New Roman" w:cs="Times New Roman"/>
                <w:color w:val="000000"/>
                <w:sz w:val="20"/>
                <w:szCs w:val="20"/>
                <w:lang w:eastAsia="en-US"/>
              </w:rPr>
              <w:instrText xml:space="preserve"> ADDIN EN.CITE &lt;EndNote&gt;&lt;Cite&gt;&lt;Author&gt;Nolan&lt;/Author&gt;&lt;Year&gt;1984&lt;/Year&gt;&lt;RecNum&gt;197&lt;/RecNum&gt;&lt;DisplayText&gt;&lt;style face="superscript"&gt;(12)&lt;/style&gt;&lt;/DisplayText&gt;&lt;record&gt;&lt;rec-number&gt;197&lt;/rec-number&gt;&lt;foreign-keys&gt;&lt;key app="EN" db-id="xftvffafmwpe0fedf055pwp7ts95t0ta0v0a"&gt;197&lt;/key&gt;&lt;/foreign-keys&gt;&lt;ref-type name="Journal Article"&gt;17&lt;/ref-type&gt;&lt;contributors&gt;&lt;authors&gt;&lt;author&gt;Nolan, R. J.&lt;/author&gt;&lt;author&gt;Rick, D. L.&lt;/author&gt;&lt;author&gt;Freshour, N. L.&lt;/author&gt;&lt;author&gt;Saunders, J. H.&lt;/author&gt;&lt;/authors&gt;&lt;/contributors&gt;&lt;titles&gt;&lt;title&gt;Chlorpyrifos: pharmacokinetics in human volunteers&lt;/title&gt;&lt;secondary-title&gt;Toxicol Appl Pharmacol&lt;/secondary-title&gt;&lt;/titles&gt;&lt;periodical&gt;&lt;full-title&gt;Toxicol Appl Pharmacol&lt;/full-title&gt;&lt;/periodical&gt;&lt;pages&gt;8-15&lt;/pages&gt;&lt;volume&gt;73&lt;/volume&gt;&lt;number&gt;1&lt;/number&gt;&lt;edition&gt;1984/03/30&lt;/edition&gt;&lt;keywords&gt;&lt;keyword&gt;Administration, Oral&lt;/keyword&gt;&lt;keyword&gt;Adult&lt;/keyword&gt;&lt;keyword&gt;Chlorpyrifos/blood/*metabolism/urine&lt;/keyword&gt;&lt;keyword&gt;Cholinesterases/blood&lt;/keyword&gt;&lt;keyword&gt;Erythrocytes/enzymology&lt;/keyword&gt;&lt;keyword&gt;Humans&lt;/keyword&gt;&lt;keyword&gt;Intestinal Absorption&lt;/keyword&gt;&lt;keyword&gt;Kinetics&lt;/keyword&gt;&lt;keyword&gt;Male&lt;/keyword&gt;&lt;keyword&gt;Middle Aged&lt;/keyword&gt;&lt;keyword&gt;Skin Absorption&lt;/keyword&gt;&lt;/keywords&gt;&lt;dates&gt;&lt;year&gt;1984&lt;/year&gt;&lt;pub-dates&gt;&lt;date&gt;Mar 30&lt;/date&gt;&lt;/pub-dates&gt;&lt;/dates&gt;&lt;isbn&gt;0041-008X (Print)&amp;#xD;0041-008X (Linking)&lt;/isbn&gt;&lt;accession-num&gt;6200956&lt;/accession-num&gt;&lt;urls&gt;&lt;related-urls&gt;&lt;url&gt;http://www.ncbi.nlm.nih.gov/entrez/query.fcgi?cmd=Retrieve&amp;amp;db=PubMed&amp;amp;dopt=Citation&amp;amp;list_uids=6200956&lt;/url&gt;&lt;/related-urls&gt;&lt;/urls&gt;&lt;language&gt;eng&lt;/language&gt;&lt;/record&gt;&lt;/Cite&gt;&lt;/EndNote&gt;</w:instrText>
            </w:r>
            <w:r w:rsidR="007A3FCF">
              <w:rPr>
                <w:rFonts w:ascii="Times New Roman" w:eastAsia="Times New Roman" w:hAnsi="Times New Roman" w:cs="Times New Roman"/>
                <w:color w:val="000000"/>
                <w:sz w:val="20"/>
                <w:szCs w:val="20"/>
                <w:lang w:eastAsia="en-US"/>
              </w:rPr>
              <w:fldChar w:fldCharType="separate"/>
            </w:r>
            <w:r w:rsidR="00FC54EA" w:rsidRPr="00FC54EA">
              <w:rPr>
                <w:rFonts w:ascii="Times New Roman" w:eastAsia="Times New Roman" w:hAnsi="Times New Roman" w:cs="Times New Roman"/>
                <w:noProof/>
                <w:color w:val="000000"/>
                <w:sz w:val="20"/>
                <w:szCs w:val="20"/>
                <w:vertAlign w:val="superscript"/>
                <w:lang w:eastAsia="en-US"/>
              </w:rPr>
              <w:t>(</w:t>
            </w:r>
            <w:hyperlink w:anchor="_ENREF_12" w:tooltip="Nolan, 1984 #197" w:history="1">
              <w:r w:rsidR="00FC54EA" w:rsidRPr="00FC54EA">
                <w:rPr>
                  <w:rFonts w:ascii="Times New Roman" w:eastAsia="Times New Roman" w:hAnsi="Times New Roman" w:cs="Times New Roman"/>
                  <w:noProof/>
                  <w:color w:val="000000"/>
                  <w:sz w:val="20"/>
                  <w:szCs w:val="20"/>
                  <w:vertAlign w:val="superscript"/>
                  <w:lang w:eastAsia="en-US"/>
                </w:rPr>
                <w:t>12</w:t>
              </w:r>
            </w:hyperlink>
            <w:r w:rsidR="00FC54EA" w:rsidRPr="00FC54EA">
              <w:rPr>
                <w:rFonts w:ascii="Times New Roman" w:eastAsia="Times New Roman" w:hAnsi="Times New Roman" w:cs="Times New Roman"/>
                <w:noProof/>
                <w:color w:val="000000"/>
                <w:sz w:val="20"/>
                <w:szCs w:val="20"/>
                <w:vertAlign w:val="superscript"/>
                <w:lang w:eastAsia="en-US"/>
              </w:rPr>
              <w:t>)</w:t>
            </w:r>
            <w:r w:rsidR="007A3FCF">
              <w:rPr>
                <w:rFonts w:ascii="Times New Roman" w:eastAsia="Times New Roman" w:hAnsi="Times New Roman" w:cs="Times New Roman"/>
                <w:color w:val="000000"/>
                <w:sz w:val="20"/>
                <w:szCs w:val="20"/>
                <w:lang w:eastAsia="en-US"/>
              </w:rPr>
              <w:fldChar w:fldCharType="end"/>
            </w:r>
            <w:r w:rsidR="00B1599E">
              <w:t xml:space="preserve"> ,</w:t>
            </w:r>
            <w:r w:rsidR="007A3FCF">
              <w:fldChar w:fldCharType="begin"/>
            </w:r>
            <w:r w:rsidR="00FC54EA">
              <w:instrText xml:space="preserve"> ADDIN EN.CITE &lt;EndNote&gt;&lt;Cite&gt;&lt;Author&gt;Anonymous&lt;/Author&gt;&lt;Year&gt;2008&lt;/Year&gt;&lt;RecNum&gt;210&lt;/RecNum&gt;&lt;DisplayText&gt;&lt;style face="superscript"&gt;(19)&lt;/style&gt;&lt;/DisplayText&gt;&lt;record&gt;&lt;rec-number&gt;210&lt;/rec-number&gt;&lt;foreign-keys&gt;&lt;key app="EN" db-id="xftvffafmwpe0fedf055pwp7ts95t0ta0v0a"&gt;210&lt;/key&gt;&lt;/foreign-keys&gt;&lt;ref-type name="Journal Article"&gt;17&lt;/ref-type&gt;&lt;contributors&gt;&lt;authors&gt;&lt;author&gt;Anonymous&lt;/author&gt;&lt;/authors&gt;&lt;/contributors&gt;&lt;titles&gt;&lt;title&gt;EPA Summary of MRID 00124144 Nolan. R. J.; Freshner, N.L.; et al. (1982) Chlorpyrifos: Pharmacokinetics in Human Volunteers Following Single Oral and Dermal Doses Toxicology and Applied Pharmacology. 73, 8-15 (1984).&lt;/title&gt;&lt;secondary-title&gt;EPA Hearing Docket #EPA-HQ-OPP-2008-0274-0012.2.pdf&lt;/secondary-title&gt;&lt;/titles&gt;&lt;periodical&gt;&lt;full-title&gt;EPA Hearing Docket #EPA-HQ-OPP-2008-0274-0012.2.pdf&lt;/full-title&gt;&lt;/periodical&gt;&lt;dates&gt;&lt;year&gt;2008&lt;/year&gt;&lt;/dates&gt;&lt;urls&gt;&lt;/urls&gt;&lt;/record&gt;&lt;/Cite&gt;&lt;/EndNote&gt;</w:instrText>
            </w:r>
            <w:r w:rsidR="007A3FCF">
              <w:fldChar w:fldCharType="separate"/>
            </w:r>
            <w:r w:rsidR="00FC54EA" w:rsidRPr="00FC54EA">
              <w:rPr>
                <w:noProof/>
                <w:vertAlign w:val="superscript"/>
              </w:rPr>
              <w:t>(</w:t>
            </w:r>
            <w:hyperlink w:anchor="_ENREF_19" w:tooltip="Anonymous, 2008 #210" w:history="1">
              <w:r w:rsidR="00FC54EA" w:rsidRPr="00FC54EA">
                <w:rPr>
                  <w:noProof/>
                  <w:vertAlign w:val="superscript"/>
                </w:rPr>
                <w:t>19</w:t>
              </w:r>
            </w:hyperlink>
            <w:r w:rsidR="00FC54EA" w:rsidRPr="00FC54EA">
              <w:rPr>
                <w:noProof/>
                <w:vertAlign w:val="superscript"/>
              </w:rPr>
              <w:t>)</w:t>
            </w:r>
            <w:r w:rsidR="007A3FCF">
              <w:fldChar w:fldCharType="end"/>
            </w:r>
            <w:r w:rsidR="00F70BB0">
              <w:rPr>
                <w:rFonts w:ascii="Times New Roman" w:hAnsi="Times New Roman" w:cs="Times New Roman"/>
              </w:rPr>
              <w:t>(</w:t>
            </w:r>
            <w:r w:rsidR="00F70BB0" w:rsidRPr="00F70BB0">
              <w:rPr>
                <w:rFonts w:ascii="Times New Roman" w:hAnsi="Times New Roman" w:cs="Times New Roman"/>
                <w:sz w:val="20"/>
                <w:szCs w:val="20"/>
              </w:rPr>
              <w:t>Table V)</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C54EA">
            <w:pPr>
              <w:ind w:left="72" w:hanging="72"/>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Blood Levels (Interpreted as 12 Hour AUCs) and Metabolite Excretion After a Single CPF Oral Dose (Kisicki et al. 1999)</w:t>
            </w:r>
            <w:r w:rsidR="00E600C1">
              <w:t xml:space="preserve"> </w:t>
            </w:r>
            <w:r w:rsidR="007A3FCF">
              <w:rPr>
                <w:rFonts w:ascii="Times New Roman" w:eastAsia="Times New Roman" w:hAnsi="Times New Roman" w:cs="Times New Roman"/>
                <w:color w:val="000000"/>
                <w:sz w:val="20"/>
                <w:szCs w:val="20"/>
                <w:lang w:eastAsia="en-US"/>
              </w:rPr>
              <w:fldChar w:fldCharType="begin"/>
            </w:r>
            <w:r w:rsidR="00FC54EA">
              <w:rPr>
                <w:rFonts w:ascii="Times New Roman" w:eastAsia="Times New Roman" w:hAnsi="Times New Roman" w:cs="Times New Roman"/>
                <w:color w:val="000000"/>
                <w:sz w:val="20"/>
                <w:szCs w:val="20"/>
                <w:lang w:eastAsia="en-US"/>
              </w:rPr>
              <w:instrText xml:space="preserve"> ADDIN EN.CITE &lt;EndNote&gt;&lt;Cite&gt;&lt;Author&gt;Kisicki&lt;/Author&gt;&lt;Year&gt;1999&lt;/Year&gt;&lt;RecNum&gt;207&lt;/RecNum&gt;&lt;DisplayText&gt;&lt;style face="superscript"&gt;(11)&lt;/style&gt;&lt;/DisplayText&gt;&lt;record&gt;&lt;rec-number&gt;207&lt;/rec-number&gt;&lt;foreign-keys&gt;&lt;key app="EN" db-id="xftvffafmwpe0fedf055pwp7ts95t0ta0v0a"&gt;207&lt;/key&gt;&lt;/foreign-keys&gt;&lt;ref-type name="Report"&gt;27&lt;/ref-type&gt;&lt;contributors&gt;&lt;authors&gt;&lt;author&gt;Kisicki, JC, Seip, CW, Combs, ML&lt;/author&gt;&lt;/authors&gt;&lt;/contributors&gt;&lt;titles&gt;&lt;title&gt;A rising dose toxicology study to determine the no-observable-effect-levels (for erthyrocyte acetylcholinesterase (AChE) inhibition and cholinergic signs and symptoms of chlorpyrifos at three dose levels.&lt;/title&gt;&lt;/titles&gt;&lt;dates&gt;&lt;year&gt;1999&lt;/year&gt;&lt;pub-dates&gt;&lt;date&gt;April 18, 1999&lt;/date&gt;&lt;/pub-dates&gt;&lt;/dates&gt;&lt;publisher&gt;MDC Harris Laboratory, Lincoln Nebraska&lt;/publisher&gt;&lt;isbn&gt;MRID No.: 44811002.&lt;/isbn&gt;&lt;urls&gt;&lt;/urls&gt;&lt;/record&gt;&lt;/Cite&gt;&lt;/EndNote&gt;</w:instrText>
            </w:r>
            <w:r w:rsidR="007A3FCF">
              <w:rPr>
                <w:rFonts w:ascii="Times New Roman" w:eastAsia="Times New Roman" w:hAnsi="Times New Roman" w:cs="Times New Roman"/>
                <w:color w:val="000000"/>
                <w:sz w:val="20"/>
                <w:szCs w:val="20"/>
                <w:lang w:eastAsia="en-US"/>
              </w:rPr>
              <w:fldChar w:fldCharType="separate"/>
            </w:r>
            <w:r w:rsidR="00FC54EA" w:rsidRPr="00FC54EA">
              <w:rPr>
                <w:rFonts w:ascii="Times New Roman" w:eastAsia="Times New Roman" w:hAnsi="Times New Roman" w:cs="Times New Roman"/>
                <w:noProof/>
                <w:color w:val="000000"/>
                <w:sz w:val="20"/>
                <w:szCs w:val="20"/>
                <w:vertAlign w:val="superscript"/>
                <w:lang w:eastAsia="en-US"/>
              </w:rPr>
              <w:t>(</w:t>
            </w:r>
            <w:hyperlink w:anchor="_ENREF_11" w:tooltip="Kisicki, 1999 #207" w:history="1">
              <w:r w:rsidR="00FC54EA" w:rsidRPr="00FC54EA">
                <w:rPr>
                  <w:rFonts w:ascii="Times New Roman" w:eastAsia="Times New Roman" w:hAnsi="Times New Roman" w:cs="Times New Roman"/>
                  <w:noProof/>
                  <w:color w:val="000000"/>
                  <w:sz w:val="20"/>
                  <w:szCs w:val="20"/>
                  <w:vertAlign w:val="superscript"/>
                  <w:lang w:eastAsia="en-US"/>
                </w:rPr>
                <w:t>11</w:t>
              </w:r>
            </w:hyperlink>
            <w:r w:rsidR="00FC54EA" w:rsidRPr="00FC54EA">
              <w:rPr>
                <w:rFonts w:ascii="Times New Roman" w:eastAsia="Times New Roman" w:hAnsi="Times New Roman" w:cs="Times New Roman"/>
                <w:noProof/>
                <w:color w:val="000000"/>
                <w:sz w:val="20"/>
                <w:szCs w:val="20"/>
                <w:vertAlign w:val="superscript"/>
                <w:lang w:eastAsia="en-US"/>
              </w:rPr>
              <w:t>)</w:t>
            </w:r>
            <w:r w:rsidR="007A3FCF">
              <w:rPr>
                <w:rFonts w:ascii="Times New Roman" w:eastAsia="Times New Roman" w:hAnsi="Times New Roman" w:cs="Times New Roman"/>
                <w:color w:val="000000"/>
                <w:sz w:val="20"/>
                <w:szCs w:val="20"/>
                <w:lang w:eastAsia="en-US"/>
              </w:rPr>
              <w:fldChar w:fldCharType="end"/>
            </w:r>
            <w:r w:rsidR="00E600C1">
              <w:rPr>
                <w:rFonts w:ascii="Times New Roman" w:eastAsia="Times New Roman" w:hAnsi="Times New Roman" w:cs="Times New Roman"/>
                <w:color w:val="000000"/>
                <w:sz w:val="20"/>
                <w:szCs w:val="20"/>
                <w:lang w:eastAsia="en-US"/>
              </w:rPr>
              <w:t xml:space="preserve"> </w:t>
            </w:r>
            <w:r w:rsidR="007A3FCF">
              <w:rPr>
                <w:rFonts w:ascii="Times New Roman" w:eastAsia="Times New Roman" w:hAnsi="Times New Roman" w:cs="Times New Roman"/>
                <w:color w:val="000000"/>
                <w:sz w:val="20"/>
                <w:szCs w:val="20"/>
                <w:lang w:eastAsia="en-US"/>
              </w:rPr>
              <w:fldChar w:fldCharType="begin"/>
            </w:r>
            <w:r w:rsidR="00FC54EA">
              <w:rPr>
                <w:rFonts w:ascii="Times New Roman" w:eastAsia="Times New Roman" w:hAnsi="Times New Roman" w:cs="Times New Roman"/>
                <w:color w:val="000000"/>
                <w:sz w:val="20"/>
                <w:szCs w:val="20"/>
                <w:lang w:eastAsia="en-US"/>
              </w:rPr>
              <w:instrText xml:space="preserve"> ADDIN EN.CITE &lt;EndNote&gt;&lt;Cite&gt;&lt;Author&gt;Brzak&lt;/Author&gt;&lt;Year&gt;1999&lt;/Year&gt;&lt;RecNum&gt;208&lt;/RecNum&gt;&lt;DisplayText&gt;&lt;style face="superscript"&gt;(20)&lt;/style&gt;&lt;/DisplayText&gt;&lt;record&gt;&lt;rec-number&gt;208&lt;/rec-number&gt;&lt;foreign-keys&gt;&lt;key app="EN" db-id="xftvffafmwpe0fedf055pwp7ts95t0ta0v0a"&gt;208&lt;/key&gt;&lt;/foreign-keys&gt;&lt;ref-type name="Report"&gt;27&lt;/ref-type&gt;&lt;contributors&gt;&lt;authors&gt;&lt;author&gt;Brzak, KA&lt;/author&gt;&lt;/authors&gt;&lt;/contributors&gt;&lt;titles&gt;&lt;title&gt;A rising dose toxicology study to determine the no-observable-effect levels for erthyrocyte acetylcholinesterase (AChE) inhibition and cholinergic signs and symptoms of chlorpyrifos at three dose levels - Part B (Pharmacokinetic and paraoxonase data).&lt;/title&gt;&lt;/titles&gt;&lt;number&gt;DOW, Study No.: 981176, June 5, 2000. MRID No.: 45144101&lt;/number&gt;&lt;dates&gt;&lt;year&gt;1999&lt;/year&gt;&lt;pub-dates&gt;&lt;date&gt;June 5, 2000&lt;/date&gt;&lt;/pub-dates&gt;&lt;/dates&gt;&lt;publisher&gt;Toxicology and Environmental Research and Consulting&lt;/publisher&gt;&lt;isbn&gt;Study No.: 981176, June 5, 2000. MRID No.: 45144101&lt;/isbn&gt;&lt;urls&gt;&lt;/urls&gt;&lt;/record&gt;&lt;/Cite&gt;&lt;/EndNote&gt;</w:instrText>
            </w:r>
            <w:r w:rsidR="007A3FCF">
              <w:rPr>
                <w:rFonts w:ascii="Times New Roman" w:eastAsia="Times New Roman" w:hAnsi="Times New Roman" w:cs="Times New Roman"/>
                <w:color w:val="000000"/>
                <w:sz w:val="20"/>
                <w:szCs w:val="20"/>
                <w:lang w:eastAsia="en-US"/>
              </w:rPr>
              <w:fldChar w:fldCharType="separate"/>
            </w:r>
            <w:r w:rsidR="00FC54EA" w:rsidRPr="00FC54EA">
              <w:rPr>
                <w:rFonts w:ascii="Times New Roman" w:eastAsia="Times New Roman" w:hAnsi="Times New Roman" w:cs="Times New Roman"/>
                <w:noProof/>
                <w:color w:val="000000"/>
                <w:sz w:val="20"/>
                <w:szCs w:val="20"/>
                <w:vertAlign w:val="superscript"/>
                <w:lang w:eastAsia="en-US"/>
              </w:rPr>
              <w:t>(</w:t>
            </w:r>
            <w:hyperlink w:anchor="_ENREF_20" w:tooltip="Brzak, 1999 #208" w:history="1">
              <w:r w:rsidR="00FC54EA" w:rsidRPr="00FC54EA">
                <w:rPr>
                  <w:rFonts w:ascii="Times New Roman" w:eastAsia="Times New Roman" w:hAnsi="Times New Roman" w:cs="Times New Roman"/>
                  <w:noProof/>
                  <w:color w:val="000000"/>
                  <w:sz w:val="20"/>
                  <w:szCs w:val="20"/>
                  <w:vertAlign w:val="superscript"/>
                  <w:lang w:eastAsia="en-US"/>
                </w:rPr>
                <w:t>20</w:t>
              </w:r>
            </w:hyperlink>
            <w:r w:rsidR="00FC54EA" w:rsidRPr="00FC54EA">
              <w:rPr>
                <w:rFonts w:ascii="Times New Roman" w:eastAsia="Times New Roman" w:hAnsi="Times New Roman" w:cs="Times New Roman"/>
                <w:noProof/>
                <w:color w:val="000000"/>
                <w:sz w:val="20"/>
                <w:szCs w:val="20"/>
                <w:vertAlign w:val="superscript"/>
                <w:lang w:eastAsia="en-US"/>
              </w:rPr>
              <w:t>)</w:t>
            </w:r>
            <w:r w:rsidR="007A3FCF">
              <w:rPr>
                <w:rFonts w:ascii="Times New Roman" w:eastAsia="Times New Roman" w:hAnsi="Times New Roman" w:cs="Times New Roman"/>
                <w:color w:val="000000"/>
                <w:sz w:val="20"/>
                <w:szCs w:val="20"/>
                <w:lang w:eastAsia="en-US"/>
              </w:rPr>
              <w:fldChar w:fldCharType="end"/>
            </w:r>
            <w:r w:rsidR="00930BB9">
              <w:rPr>
                <w:rFonts w:ascii="Times New Roman" w:eastAsia="Times New Roman" w:hAnsi="Times New Roman" w:cs="Times New Roman"/>
                <w:color w:val="000000"/>
                <w:sz w:val="20"/>
                <w:szCs w:val="20"/>
                <w:lang w:eastAsia="en-US"/>
              </w:rPr>
              <w:t xml:space="preserve"> (Table VI)</w:t>
            </w:r>
          </w:p>
        </w:tc>
      </w:tr>
      <w:tr w:rsidR="00FF5F14" w:rsidRPr="00AD3E6A" w:rsidTr="00930BB9">
        <w:trPr>
          <w:trHeight w:val="20"/>
        </w:trPr>
        <w:tc>
          <w:tcPr>
            <w:tcW w:w="202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Population Studied</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Pregnant women exposed in their residences via air and likely other routes (85-453 women with different types of measurements over 3-6 years)</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 xml:space="preserve">30 Recently deceased people with no known special exposure to CPF, including 5 adult women used for final analysis </w:t>
            </w:r>
            <w:r w:rsidR="0095251C">
              <w:rPr>
                <w:rFonts w:ascii="Times New Roman" w:eastAsia="Times New Roman" w:hAnsi="Times New Roman" w:cs="Times New Roman"/>
                <w:color w:val="000000"/>
                <w:sz w:val="20"/>
                <w:szCs w:val="20"/>
                <w:lang w:eastAsia="en-US"/>
              </w:rPr>
              <w:t>(Table IV)</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5 male subjects given 0.5 mg/kg  CPF orally</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930BB9">
            <w:pPr>
              <w:ind w:left="72" w:hanging="72"/>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 xml:space="preserve">3 groups of 6 male and 6 female subjects each given single doses of 0.5, 1.0, and 2.0 mg/kg orally </w:t>
            </w:r>
          </w:p>
        </w:tc>
      </w:tr>
      <w:tr w:rsidR="00FF5F14" w:rsidRPr="00AD3E6A" w:rsidTr="00930BB9">
        <w:trPr>
          <w:trHeight w:val="20"/>
        </w:trPr>
        <w:tc>
          <w:tcPr>
            <w:tcW w:w="15315" w:type="dxa"/>
            <w:gridSpan w:val="5"/>
            <w:tcBorders>
              <w:top w:val="single" w:sz="6" w:space="0" w:color="auto"/>
              <w:left w:val="nil"/>
              <w:bottom w:val="single" w:sz="6" w:space="0" w:color="auto"/>
              <w:right w:val="nil"/>
            </w:tcBorders>
            <w:shd w:val="clear" w:color="auto" w:fill="auto"/>
            <w:vAlign w:val="bottom"/>
            <w:hideMark/>
          </w:tcPr>
          <w:p w:rsidR="00FF5F14" w:rsidRPr="00AD3E6A" w:rsidRDefault="00FF5F14" w:rsidP="00930BB9">
            <w:pPr>
              <w:ind w:left="72" w:hanging="72"/>
              <w:rPr>
                <w:rFonts w:ascii="Times New Roman" w:eastAsia="Times New Roman" w:hAnsi="Times New Roman" w:cs="Times New Roman"/>
                <w:b/>
                <w:bCs/>
                <w:color w:val="000000"/>
                <w:sz w:val="20"/>
                <w:szCs w:val="20"/>
                <w:lang w:eastAsia="en-US"/>
              </w:rPr>
            </w:pPr>
            <w:r w:rsidRPr="00AD3E6A">
              <w:rPr>
                <w:rFonts w:ascii="Times New Roman" w:eastAsia="Times New Roman" w:hAnsi="Times New Roman" w:cs="Times New Roman"/>
                <w:b/>
                <w:bCs/>
                <w:color w:val="000000"/>
                <w:sz w:val="20"/>
                <w:szCs w:val="20"/>
                <w:lang w:eastAsia="en-US"/>
              </w:rPr>
              <w:t>Types of Uncertainties Included in Analysis:</w:t>
            </w:r>
          </w:p>
        </w:tc>
      </w:tr>
      <w:tr w:rsidR="00FF5F14" w:rsidRPr="00AD3E6A" w:rsidTr="00930BB9">
        <w:trPr>
          <w:trHeight w:val="20"/>
        </w:trPr>
        <w:tc>
          <w:tcPr>
            <w:tcW w:w="202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Imputation of values for non-detects</w:t>
            </w:r>
          </w:p>
        </w:tc>
        <w:tc>
          <w:tcPr>
            <w:tcW w:w="383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F5F14" w:rsidRPr="00AD3E6A" w:rsidRDefault="00FF5F14" w:rsidP="00FF5F14">
            <w:pPr>
              <w:rPr>
                <w:rFonts w:ascii="Calibri" w:eastAsia="Times New Roman" w:hAnsi="Calibri" w:cs="Times New Roman"/>
                <w:color w:val="000000"/>
                <w:sz w:val="20"/>
                <w:szCs w:val="20"/>
                <w:lang w:eastAsia="en-US"/>
              </w:rPr>
            </w:pPr>
          </w:p>
        </w:tc>
        <w:tc>
          <w:tcPr>
            <w:tcW w:w="28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F5F14" w:rsidRPr="00AD3E6A" w:rsidRDefault="00FF5F14" w:rsidP="00FF5F14">
            <w:pPr>
              <w:rPr>
                <w:rFonts w:ascii="Calibri" w:eastAsia="Times New Roman" w:hAnsi="Calibri" w:cs="Times New Roman"/>
                <w:color w:val="000000"/>
                <w:sz w:val="20"/>
                <w:szCs w:val="20"/>
                <w:lang w:eastAsia="en-US"/>
              </w:rPr>
            </w:pPr>
          </w:p>
        </w:tc>
        <w:tc>
          <w:tcPr>
            <w:tcW w:w="32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F5F14" w:rsidRPr="00AD3E6A" w:rsidRDefault="00FF5F14" w:rsidP="00FF5F14">
            <w:pPr>
              <w:rPr>
                <w:rFonts w:ascii="Calibri" w:eastAsia="Times New Roman" w:hAnsi="Calibri" w:cs="Times New Roman"/>
                <w:color w:val="000000"/>
                <w:sz w:val="20"/>
                <w:szCs w:val="20"/>
                <w:lang w:eastAsia="en-US"/>
              </w:rPr>
            </w:pPr>
          </w:p>
        </w:tc>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930BB9">
            <w:pPr>
              <w:ind w:left="72" w:hanging="72"/>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Only 8 of 24 subjects at the two higher dose levels had measured CPF in blood over detection limits, requiring imputation for nondetects</w:t>
            </w:r>
          </w:p>
        </w:tc>
      </w:tr>
      <w:tr w:rsidR="00FF5F14" w:rsidRPr="00AD3E6A" w:rsidTr="00930BB9">
        <w:trPr>
          <w:trHeight w:val="20"/>
        </w:trPr>
        <w:tc>
          <w:tcPr>
            <w:tcW w:w="202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In Vitro/In Vivo Projection</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5B6676">
            <w:pPr>
              <w:rPr>
                <w:rFonts w:ascii="Times New Roman" w:eastAsia="Times New Roman" w:hAnsi="Times New Roman" w:cs="Times New Roman"/>
                <w:sz w:val="20"/>
                <w:szCs w:val="20"/>
                <w:lang w:eastAsia="en-US"/>
              </w:rPr>
            </w:pPr>
            <w:r w:rsidRPr="00AD3E6A">
              <w:rPr>
                <w:rFonts w:ascii="Times New Roman" w:eastAsia="Times New Roman" w:hAnsi="Times New Roman" w:cs="Times New Roman"/>
                <w:sz w:val="20"/>
                <w:szCs w:val="20"/>
                <w:lang w:eastAsia="en-US"/>
              </w:rPr>
              <w:t>yes (</w:t>
            </w:r>
            <w:r w:rsidR="005B6676">
              <w:rPr>
                <w:rFonts w:ascii="Times New Roman" w:eastAsia="Times New Roman" w:hAnsi="Times New Roman" w:cs="Times New Roman"/>
                <w:sz w:val="20"/>
                <w:szCs w:val="20"/>
                <w:lang w:eastAsia="en-US"/>
              </w:rPr>
              <w:t>systematic and random error in using liver microsome data from recently deceased people</w:t>
            </w:r>
            <w:r w:rsidR="005E32D4">
              <w:rPr>
                <w:rFonts w:ascii="Times New Roman" w:eastAsia="Times New Roman" w:hAnsi="Times New Roman" w:cs="Times New Roman"/>
                <w:sz w:val="20"/>
                <w:szCs w:val="20"/>
                <w:lang w:eastAsia="en-US"/>
              </w:rPr>
              <w:t xml:space="preserve"> to project human in vivo cleara</w:t>
            </w:r>
            <w:r w:rsidR="005B6676">
              <w:rPr>
                <w:rFonts w:ascii="Times New Roman" w:eastAsia="Times New Roman" w:hAnsi="Times New Roman" w:cs="Times New Roman"/>
                <w:sz w:val="20"/>
                <w:szCs w:val="20"/>
                <w:lang w:eastAsia="en-US"/>
              </w:rPr>
              <w:t>nce</w:t>
            </w:r>
            <w:r w:rsidR="002E0BB5">
              <w:rPr>
                <w:rFonts w:ascii="Times New Roman" w:eastAsia="Times New Roman" w:hAnsi="Times New Roman" w:cs="Times New Roman"/>
                <w:sz w:val="28"/>
                <w:szCs w:val="28"/>
                <w:vertAlign w:val="superscript"/>
                <w:lang w:eastAsia="en-US"/>
              </w:rPr>
              <w:t>b</w:t>
            </w:r>
            <w:r w:rsidRPr="00AD3E6A">
              <w:rPr>
                <w:rFonts w:ascii="Times New Roman" w:eastAsia="Times New Roman" w:hAnsi="Times New Roman" w:cs="Times New Roman"/>
                <w:sz w:val="20"/>
                <w:szCs w:val="20"/>
                <w:lang w:eastAsia="en-US"/>
              </w:rPr>
              <w:t>)</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p>
        </w:tc>
        <w:tc>
          <w:tcPr>
            <w:tcW w:w="33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E32D4" w:rsidRPr="00AD3E6A" w:rsidRDefault="005E32D4" w:rsidP="005E32D4">
            <w:pPr>
              <w:ind w:left="72" w:hanging="72"/>
              <w:rPr>
                <w:rFonts w:ascii="Times New Roman" w:eastAsia="Times New Roman" w:hAnsi="Times New Roman" w:cs="Times New Roman"/>
                <w:color w:val="000000"/>
                <w:sz w:val="20"/>
                <w:szCs w:val="20"/>
                <w:lang w:eastAsia="en-US"/>
              </w:rPr>
            </w:pPr>
          </w:p>
        </w:tc>
      </w:tr>
      <w:tr w:rsidR="00FF5F14" w:rsidRPr="00AD3E6A" w:rsidTr="00930BB9">
        <w:trPr>
          <w:trHeight w:val="20"/>
        </w:trPr>
        <w:tc>
          <w:tcPr>
            <w:tcW w:w="202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Male/Female Projection of Metabolism Rates</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b/>
                <w:bCs/>
                <w:sz w:val="20"/>
                <w:szCs w:val="20"/>
                <w:lang w:eastAsia="en-US"/>
              </w:rPr>
            </w:pP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sz w:val="20"/>
                <w:szCs w:val="20"/>
                <w:lang w:eastAsia="en-US"/>
              </w:rPr>
            </w:pPr>
            <w:r w:rsidRPr="00AD3E6A">
              <w:rPr>
                <w:rFonts w:ascii="Times New Roman" w:eastAsia="Times New Roman" w:hAnsi="Times New Roman" w:cs="Times New Roman"/>
                <w:sz w:val="20"/>
                <w:szCs w:val="20"/>
                <w:lang w:eastAsia="en-US"/>
              </w:rPr>
              <w:t>yes--from comparison of male and female in vitro microsomal metabolism rates</w:t>
            </w:r>
            <w:r w:rsidR="00265B96">
              <w:rPr>
                <w:rFonts w:ascii="Times New Roman" w:eastAsia="Times New Roman" w:hAnsi="Times New Roman" w:cs="Times New Roman"/>
                <w:sz w:val="20"/>
                <w:szCs w:val="20"/>
                <w:lang w:eastAsia="en-US"/>
              </w:rPr>
              <w:t xml:space="preserve"> </w:t>
            </w:r>
            <w:r w:rsidR="00F70BB0">
              <w:rPr>
                <w:rFonts w:ascii="Times New Roman" w:eastAsia="Times New Roman" w:hAnsi="Times New Roman" w:cs="Times New Roman"/>
                <w:sz w:val="20"/>
                <w:szCs w:val="20"/>
                <w:lang w:eastAsia="en-US"/>
              </w:rPr>
              <w:t>(Table IV)</w:t>
            </w:r>
            <w:r w:rsidRPr="00AD3E6A">
              <w:rPr>
                <w:rFonts w:ascii="Times New Roman" w:eastAsia="Times New Roman" w:hAnsi="Times New Roman" w:cs="Times New Roman"/>
                <w:sz w:val="20"/>
                <w:szCs w:val="20"/>
                <w:lang w:eastAsia="en-US"/>
              </w:rPr>
              <w:t>; with uncertainty quantified by addition of variances in log space</w:t>
            </w:r>
          </w:p>
        </w:tc>
        <w:tc>
          <w:tcPr>
            <w:tcW w:w="33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F5F14" w:rsidRPr="00AD3E6A" w:rsidRDefault="00FF5F14" w:rsidP="00930BB9">
            <w:pPr>
              <w:ind w:left="72" w:hanging="72"/>
              <w:rPr>
                <w:rFonts w:ascii="Times New Roman" w:eastAsia="Times New Roman" w:hAnsi="Times New Roman" w:cs="Times New Roman"/>
                <w:color w:val="000000"/>
                <w:sz w:val="20"/>
                <w:szCs w:val="20"/>
                <w:lang w:eastAsia="en-US"/>
              </w:rPr>
            </w:pPr>
          </w:p>
        </w:tc>
      </w:tr>
      <w:tr w:rsidR="00FF5F14" w:rsidRPr="00AD3E6A" w:rsidTr="00930BB9">
        <w:trPr>
          <w:trHeight w:val="20"/>
        </w:trPr>
        <w:tc>
          <w:tcPr>
            <w:tcW w:w="202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Pregnant/Nonpregnant Metabolic Rate Projection</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656459" w:rsidP="00FC54EA">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yes [</w:t>
            </w:r>
            <w:r w:rsidR="00FF5F14" w:rsidRPr="00AD3E6A">
              <w:rPr>
                <w:rFonts w:ascii="Times New Roman" w:eastAsia="Times New Roman" w:hAnsi="Times New Roman" w:cs="Times New Roman"/>
                <w:sz w:val="20"/>
                <w:szCs w:val="20"/>
                <w:lang w:eastAsia="en-US"/>
              </w:rPr>
              <w:t>represented as a random draw of clearance ratios from 7 drugs studied by Loebstein</w:t>
            </w:r>
            <w:r>
              <w:rPr>
                <w:rFonts w:ascii="Times New Roman" w:eastAsia="Times New Roman" w:hAnsi="Times New Roman" w:cs="Times New Roman"/>
                <w:sz w:val="20"/>
                <w:szCs w:val="20"/>
                <w:lang w:eastAsia="en-US"/>
              </w:rPr>
              <w:t xml:space="preserve">  </w:t>
            </w:r>
            <w:r w:rsidR="007A3FCF">
              <w:rPr>
                <w:rFonts w:ascii="Times New Roman" w:eastAsia="Times New Roman" w:hAnsi="Times New Roman" w:cs="Times New Roman"/>
                <w:sz w:val="20"/>
                <w:szCs w:val="20"/>
                <w:lang w:eastAsia="en-US"/>
              </w:rPr>
              <w:fldChar w:fldCharType="begin"/>
            </w:r>
            <w:r w:rsidR="00FC54EA">
              <w:rPr>
                <w:rFonts w:ascii="Times New Roman" w:eastAsia="Times New Roman" w:hAnsi="Times New Roman" w:cs="Times New Roman"/>
                <w:sz w:val="20"/>
                <w:szCs w:val="20"/>
                <w:lang w:eastAsia="en-US"/>
              </w:rPr>
              <w:instrText xml:space="preserve"> ADDIN EN.CITE &lt;EndNote&gt;&lt;Cite&gt;&lt;Author&gt;Loebstein&lt;/Author&gt;&lt;Year&gt;1997&lt;/Year&gt;&lt;RecNum&gt;226&lt;/RecNum&gt;&lt;DisplayText&gt;&lt;style face="superscript"&gt;(21)&lt;/style&gt;&lt;/DisplayText&gt;&lt;record&gt;&lt;rec-number&gt;226&lt;/rec-number&gt;&lt;foreign-keys&gt;&lt;key app="EN" db-id="xftvffafmwpe0fedf055pwp7ts95t0ta0v0a"&gt;226&lt;/key&gt;&lt;/foreign-keys&gt;&lt;ref-type name="Journal Article"&gt;17&lt;/ref-type&gt;&lt;contributors&gt;&lt;authors&gt;&lt;author&gt;Loebstein, R, Lalkin, A, Koren, G&lt;/author&gt;&lt;/authors&gt;&lt;/contributors&gt;&lt;titles&gt;&lt;title&gt;Pharmacokinetic changes during pregnancy and their clinical relevance&lt;/title&gt;&lt;secondary-title&gt;Clinical Pharmacokinetics&lt;/secondary-title&gt;&lt;/titles&gt;&lt;periodical&gt;&lt;full-title&gt;Clinical Pharmacokinetics&lt;/full-title&gt;&lt;/periodical&gt;&lt;pages&gt;328-343&lt;/pages&gt;&lt;volume&gt;33&lt;/volume&gt;&lt;section&gt;328&lt;/section&gt;&lt;dates&gt;&lt;year&gt;1997&lt;/year&gt;&lt;/dates&gt;&lt;urls&gt;&lt;/urls&gt;&lt;/record&gt;&lt;/Cite&gt;&lt;/EndNote&gt;</w:instrText>
            </w:r>
            <w:r w:rsidR="007A3FCF">
              <w:rPr>
                <w:rFonts w:ascii="Times New Roman" w:eastAsia="Times New Roman" w:hAnsi="Times New Roman" w:cs="Times New Roman"/>
                <w:sz w:val="20"/>
                <w:szCs w:val="20"/>
                <w:lang w:eastAsia="en-US"/>
              </w:rPr>
              <w:fldChar w:fldCharType="separate"/>
            </w:r>
            <w:r w:rsidR="00FC54EA" w:rsidRPr="00FC54EA">
              <w:rPr>
                <w:rFonts w:ascii="Times New Roman" w:eastAsia="Times New Roman" w:hAnsi="Times New Roman" w:cs="Times New Roman"/>
                <w:noProof/>
                <w:sz w:val="20"/>
                <w:szCs w:val="20"/>
                <w:vertAlign w:val="superscript"/>
                <w:lang w:eastAsia="en-US"/>
              </w:rPr>
              <w:t>(</w:t>
            </w:r>
            <w:hyperlink w:anchor="_ENREF_21" w:tooltip="Loebstein, 1997 #226" w:history="1">
              <w:r w:rsidR="00FC54EA" w:rsidRPr="00FC54EA">
                <w:rPr>
                  <w:rFonts w:ascii="Times New Roman" w:eastAsia="Times New Roman" w:hAnsi="Times New Roman" w:cs="Times New Roman"/>
                  <w:noProof/>
                  <w:sz w:val="20"/>
                  <w:szCs w:val="20"/>
                  <w:vertAlign w:val="superscript"/>
                  <w:lang w:eastAsia="en-US"/>
                </w:rPr>
                <w:t>21</w:t>
              </w:r>
            </w:hyperlink>
            <w:r w:rsidR="00FC54EA" w:rsidRPr="00FC54EA">
              <w:rPr>
                <w:rFonts w:ascii="Times New Roman" w:eastAsia="Times New Roman" w:hAnsi="Times New Roman" w:cs="Times New Roman"/>
                <w:noProof/>
                <w:sz w:val="20"/>
                <w:szCs w:val="20"/>
                <w:vertAlign w:val="superscript"/>
                <w:lang w:eastAsia="en-US"/>
              </w:rPr>
              <w:t>)</w:t>
            </w:r>
            <w:r w:rsidR="007A3FCF">
              <w:rPr>
                <w:rFonts w:ascii="Times New Roman" w:eastAsia="Times New Roman" w:hAnsi="Times New Roman" w:cs="Times New Roman"/>
                <w:sz w:val="20"/>
                <w:szCs w:val="20"/>
                <w:lang w:eastAsia="en-US"/>
              </w:rPr>
              <w:fldChar w:fldCharType="end"/>
            </w:r>
            <w:r w:rsidRPr="00656459">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 xml:space="preserve">(Table VII), </w:t>
            </w:r>
            <w:r w:rsidR="00FF5F14" w:rsidRPr="00AD3E6A">
              <w:rPr>
                <w:rFonts w:ascii="Times New Roman" w:eastAsia="Times New Roman" w:hAnsi="Times New Roman" w:cs="Times New Roman"/>
                <w:sz w:val="20"/>
                <w:szCs w:val="20"/>
                <w:lang w:eastAsia="en-US"/>
              </w:rPr>
              <w:t>treated as lognormal)</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sz w:val="20"/>
                <w:szCs w:val="20"/>
                <w:lang w:eastAsia="en-US"/>
              </w:rPr>
            </w:pPr>
            <w:r w:rsidRPr="00AD3E6A">
              <w:rPr>
                <w:rFonts w:ascii="Times New Roman" w:eastAsia="Times New Roman" w:hAnsi="Times New Roman" w:cs="Times New Roman"/>
                <w:sz w:val="20"/>
                <w:szCs w:val="20"/>
                <w:lang w:eastAsia="en-US"/>
              </w:rPr>
              <w:t>yes, from Loebstein data</w:t>
            </w:r>
            <w:r w:rsidR="00F75655">
              <w:rPr>
                <w:rFonts w:ascii="Times New Roman" w:eastAsia="Times New Roman" w:hAnsi="Times New Roman" w:cs="Times New Roman"/>
                <w:sz w:val="20"/>
                <w:szCs w:val="20"/>
                <w:lang w:eastAsia="en-US"/>
              </w:rPr>
              <w:t xml:space="preserve"> (Table VII)</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930BB9">
            <w:pPr>
              <w:ind w:left="72" w:hanging="72"/>
              <w:rPr>
                <w:rFonts w:ascii="Times New Roman" w:eastAsia="Times New Roman" w:hAnsi="Times New Roman" w:cs="Times New Roman"/>
                <w:sz w:val="20"/>
                <w:szCs w:val="20"/>
                <w:lang w:eastAsia="en-US"/>
              </w:rPr>
            </w:pPr>
            <w:r w:rsidRPr="00AD3E6A">
              <w:rPr>
                <w:rFonts w:ascii="Times New Roman" w:eastAsia="Times New Roman" w:hAnsi="Times New Roman" w:cs="Times New Roman"/>
                <w:sz w:val="20"/>
                <w:szCs w:val="20"/>
                <w:lang w:eastAsia="en-US"/>
              </w:rPr>
              <w:t xml:space="preserve">yes, from Loebstien data </w:t>
            </w:r>
            <w:r w:rsidR="00F75655">
              <w:rPr>
                <w:rFonts w:ascii="Times New Roman" w:eastAsia="Times New Roman" w:hAnsi="Times New Roman" w:cs="Times New Roman"/>
                <w:sz w:val="20"/>
                <w:szCs w:val="20"/>
                <w:lang w:eastAsia="en-US"/>
              </w:rPr>
              <w:t>(Table VII)</w:t>
            </w:r>
          </w:p>
        </w:tc>
      </w:tr>
      <w:tr w:rsidR="00FF5F14" w:rsidRPr="00AD3E6A" w:rsidTr="00930BB9">
        <w:trPr>
          <w:trHeight w:val="1460"/>
        </w:trPr>
        <w:tc>
          <w:tcPr>
            <w:tcW w:w="202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rPr>
                <w:rFonts w:ascii="Times New Roman" w:eastAsia="Times New Roman" w:hAnsi="Times New Roman" w:cs="Times New Roman"/>
                <w:color w:val="000000"/>
                <w:sz w:val="20"/>
                <w:szCs w:val="20"/>
                <w:lang w:eastAsia="en-US"/>
              </w:rPr>
            </w:pPr>
            <w:r w:rsidRPr="00AD3E6A">
              <w:rPr>
                <w:rFonts w:ascii="Times New Roman" w:eastAsia="Times New Roman" w:hAnsi="Times New Roman" w:cs="Times New Roman"/>
                <w:color w:val="000000"/>
                <w:sz w:val="20"/>
                <w:szCs w:val="20"/>
                <w:lang w:eastAsia="en-US"/>
              </w:rPr>
              <w:t>PBPK Model As</w:t>
            </w:r>
            <w:r w:rsidR="004E2F68">
              <w:rPr>
                <w:rFonts w:ascii="Times New Roman" w:eastAsia="Times New Roman" w:hAnsi="Times New Roman" w:cs="Times New Roman"/>
                <w:color w:val="000000"/>
                <w:sz w:val="20"/>
                <w:szCs w:val="20"/>
                <w:lang w:eastAsia="en-US"/>
              </w:rPr>
              <w:t>sumptions Other than Metabolism</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8A294C" w:rsidP="00FF5F14">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Yes</w:t>
            </w:r>
            <w:r w:rsidR="001E1766">
              <w:rPr>
                <w:rFonts w:ascii="Times New Roman" w:eastAsia="Times New Roman" w:hAnsi="Times New Roman" w:cs="Times New Roman"/>
                <w:sz w:val="28"/>
                <w:szCs w:val="28"/>
                <w:vertAlign w:val="superscript"/>
                <w:lang w:eastAsia="en-US"/>
              </w:rPr>
              <w:t>a</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C54EA">
            <w:pPr>
              <w:rPr>
                <w:rFonts w:ascii="Times New Roman" w:eastAsia="Times New Roman" w:hAnsi="Times New Roman" w:cs="Times New Roman"/>
                <w:sz w:val="20"/>
                <w:szCs w:val="20"/>
                <w:lang w:eastAsia="en-US"/>
              </w:rPr>
            </w:pPr>
            <w:r w:rsidRPr="00AD3E6A">
              <w:rPr>
                <w:rFonts w:ascii="Times New Roman" w:eastAsia="Times New Roman" w:hAnsi="Times New Roman" w:cs="Times New Roman"/>
                <w:sz w:val="20"/>
                <w:szCs w:val="20"/>
                <w:lang w:eastAsia="en-US"/>
              </w:rPr>
              <w:t xml:space="preserve">yes (all metabolism in the liver; </w:t>
            </w:r>
            <w:r w:rsidR="00F75655">
              <w:rPr>
                <w:rFonts w:ascii="Times New Roman" w:eastAsia="Times New Roman" w:hAnsi="Times New Roman" w:cs="Times New Roman"/>
                <w:sz w:val="20"/>
                <w:szCs w:val="20"/>
                <w:lang w:eastAsia="en-US"/>
              </w:rPr>
              <w:t>pregnancy-related partition coefficient changes</w:t>
            </w:r>
            <w:r w:rsidRPr="00AD3E6A">
              <w:rPr>
                <w:rFonts w:ascii="Times New Roman" w:eastAsia="Times New Roman" w:hAnsi="Times New Roman" w:cs="Times New Roman"/>
                <w:sz w:val="20"/>
                <w:szCs w:val="20"/>
                <w:lang w:eastAsia="en-US"/>
              </w:rPr>
              <w:t xml:space="preserve"> estimated by Lowe;</w:t>
            </w:r>
            <w:r w:rsidR="00F75655">
              <w:t xml:space="preserve"> </w:t>
            </w:r>
            <w:r w:rsidR="007A3FCF">
              <w:rPr>
                <w:rFonts w:ascii="Times New Roman" w:eastAsia="Times New Roman" w:hAnsi="Times New Roman" w:cs="Times New Roman"/>
                <w:sz w:val="20"/>
                <w:szCs w:val="20"/>
                <w:lang w:eastAsia="en-US"/>
              </w:rPr>
              <w:fldChar w:fldCharType="begin">
                <w:fldData xml:space="preserve">PEVuZE5vdGU+PENpdGU+PEF1dGhvcj5Mb3dlPC9BdXRob3I+PFllYXI+MjAwOTwvWWVhcj48UmVj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=
</w:fldData>
              </w:fldChar>
            </w:r>
            <w:r w:rsidR="00FC54EA">
              <w:rPr>
                <w:rFonts w:ascii="Times New Roman" w:eastAsia="Times New Roman" w:hAnsi="Times New Roman" w:cs="Times New Roman"/>
                <w:sz w:val="20"/>
                <w:szCs w:val="20"/>
                <w:lang w:eastAsia="en-US"/>
              </w:rPr>
              <w:instrText xml:space="preserve"> ADDIN EN.CITE </w:instrText>
            </w:r>
            <w:r w:rsidR="007A3FCF">
              <w:rPr>
                <w:rFonts w:ascii="Times New Roman" w:eastAsia="Times New Roman" w:hAnsi="Times New Roman" w:cs="Times New Roman"/>
                <w:sz w:val="20"/>
                <w:szCs w:val="20"/>
                <w:lang w:eastAsia="en-US"/>
              </w:rPr>
              <w:fldChar w:fldCharType="begin">
                <w:fldData xml:space="preserve">PEVuZE5vdGU+PENpdGU+PEF1dGhvcj5Mb3dlPC9BdXRob3I+PFllYXI+MjAwOTwvWWVhcj48UmVj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=
</w:fldData>
              </w:fldChar>
            </w:r>
            <w:r w:rsidR="00FC54EA">
              <w:rPr>
                <w:rFonts w:ascii="Times New Roman" w:eastAsia="Times New Roman" w:hAnsi="Times New Roman" w:cs="Times New Roman"/>
                <w:sz w:val="20"/>
                <w:szCs w:val="20"/>
                <w:lang w:eastAsia="en-US"/>
              </w:rPr>
              <w:instrText xml:space="preserve"> ADDIN EN.CITE.DATA </w:instrText>
            </w:r>
            <w:r w:rsidR="007A3FCF">
              <w:rPr>
                <w:rFonts w:ascii="Times New Roman" w:eastAsia="Times New Roman" w:hAnsi="Times New Roman" w:cs="Times New Roman"/>
                <w:sz w:val="20"/>
                <w:szCs w:val="20"/>
                <w:lang w:eastAsia="en-US"/>
              </w:rPr>
            </w:r>
            <w:r w:rsidR="007A3FCF">
              <w:rPr>
                <w:rFonts w:ascii="Times New Roman" w:eastAsia="Times New Roman" w:hAnsi="Times New Roman" w:cs="Times New Roman"/>
                <w:sz w:val="20"/>
                <w:szCs w:val="20"/>
                <w:lang w:eastAsia="en-US"/>
              </w:rPr>
              <w:fldChar w:fldCharType="end"/>
            </w:r>
            <w:r w:rsidR="007A3FCF">
              <w:rPr>
                <w:rFonts w:ascii="Times New Roman" w:eastAsia="Times New Roman" w:hAnsi="Times New Roman" w:cs="Times New Roman"/>
                <w:sz w:val="20"/>
                <w:szCs w:val="20"/>
                <w:lang w:eastAsia="en-US"/>
              </w:rPr>
            </w:r>
            <w:r w:rsidR="007A3FCF">
              <w:rPr>
                <w:rFonts w:ascii="Times New Roman" w:eastAsia="Times New Roman" w:hAnsi="Times New Roman" w:cs="Times New Roman"/>
                <w:sz w:val="20"/>
                <w:szCs w:val="20"/>
                <w:lang w:eastAsia="en-US"/>
              </w:rPr>
              <w:fldChar w:fldCharType="separate"/>
            </w:r>
            <w:r w:rsidR="00FC54EA" w:rsidRPr="00FC54EA">
              <w:rPr>
                <w:rFonts w:ascii="Times New Roman" w:eastAsia="Times New Roman" w:hAnsi="Times New Roman" w:cs="Times New Roman"/>
                <w:noProof/>
                <w:sz w:val="20"/>
                <w:szCs w:val="20"/>
                <w:vertAlign w:val="superscript"/>
                <w:lang w:eastAsia="en-US"/>
              </w:rPr>
              <w:t>(</w:t>
            </w:r>
            <w:hyperlink w:anchor="_ENREF_22" w:tooltip="Lowe, 2009 #24" w:history="1">
              <w:r w:rsidR="00FC54EA" w:rsidRPr="00FC54EA">
                <w:rPr>
                  <w:rFonts w:ascii="Times New Roman" w:eastAsia="Times New Roman" w:hAnsi="Times New Roman" w:cs="Times New Roman"/>
                  <w:noProof/>
                  <w:sz w:val="20"/>
                  <w:szCs w:val="20"/>
                  <w:vertAlign w:val="superscript"/>
                  <w:lang w:eastAsia="en-US"/>
                </w:rPr>
                <w:t>22</w:t>
              </w:r>
            </w:hyperlink>
            <w:r w:rsidR="00FC54EA" w:rsidRPr="00FC54EA">
              <w:rPr>
                <w:rFonts w:ascii="Times New Roman" w:eastAsia="Times New Roman" w:hAnsi="Times New Roman" w:cs="Times New Roman"/>
                <w:noProof/>
                <w:sz w:val="20"/>
                <w:szCs w:val="20"/>
                <w:vertAlign w:val="superscript"/>
                <w:lang w:eastAsia="en-US"/>
              </w:rPr>
              <w:t>)</w:t>
            </w:r>
            <w:r w:rsidR="007A3FCF">
              <w:rPr>
                <w:rFonts w:ascii="Times New Roman" w:eastAsia="Times New Roman" w:hAnsi="Times New Roman" w:cs="Times New Roman"/>
                <w:sz w:val="20"/>
                <w:szCs w:val="20"/>
                <w:lang w:eastAsia="en-US"/>
              </w:rPr>
              <w:fldChar w:fldCharType="end"/>
            </w:r>
            <w:r w:rsidRPr="00AD3E6A">
              <w:rPr>
                <w:rFonts w:ascii="Times New Roman" w:eastAsia="Times New Roman" w:hAnsi="Times New Roman" w:cs="Times New Roman"/>
                <w:sz w:val="20"/>
                <w:szCs w:val="20"/>
                <w:lang w:eastAsia="en-US"/>
              </w:rPr>
              <w:t xml:space="preserve"> </w:t>
            </w:r>
            <w:r w:rsidR="004E2F68">
              <w:rPr>
                <w:rFonts w:ascii="Times New Roman" w:eastAsia="Times New Roman" w:hAnsi="Times New Roman" w:cs="Times New Roman"/>
                <w:sz w:val="20"/>
                <w:szCs w:val="20"/>
                <w:lang w:eastAsia="en-US"/>
              </w:rPr>
              <w:t xml:space="preserve">with uncertainties for non-fat tissue patterned after those from fat; </w:t>
            </w:r>
            <w:r w:rsidRPr="00AD3E6A">
              <w:rPr>
                <w:rFonts w:ascii="Times New Roman" w:eastAsia="Times New Roman" w:hAnsi="Times New Roman" w:cs="Times New Roman"/>
                <w:sz w:val="20"/>
                <w:szCs w:val="20"/>
                <w:lang w:eastAsia="en-US"/>
              </w:rPr>
              <w:t>pregnancy-related compartment size changes)</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FF5F14">
            <w:pPr>
              <w:jc w:val="center"/>
              <w:rPr>
                <w:rFonts w:ascii="Times New Roman" w:eastAsia="Times New Roman" w:hAnsi="Times New Roman" w:cs="Times New Roman"/>
                <w:sz w:val="20"/>
                <w:szCs w:val="20"/>
                <w:lang w:eastAsia="en-US"/>
              </w:rPr>
            </w:pPr>
            <w:r w:rsidRPr="00AD3E6A">
              <w:rPr>
                <w:rFonts w:ascii="Times New Roman" w:eastAsia="Times New Roman" w:hAnsi="Times New Roman" w:cs="Times New Roman"/>
                <w:sz w:val="20"/>
                <w:szCs w:val="20"/>
                <w:lang w:eastAsia="en-US"/>
              </w:rPr>
              <w:t xml:space="preserve">yes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FF5F14" w:rsidRPr="00AD3E6A" w:rsidRDefault="00FF5F14" w:rsidP="00930BB9">
            <w:pPr>
              <w:ind w:left="72" w:hanging="72"/>
              <w:jc w:val="center"/>
              <w:rPr>
                <w:rFonts w:ascii="Times New Roman" w:eastAsia="Times New Roman" w:hAnsi="Times New Roman" w:cs="Times New Roman"/>
                <w:sz w:val="20"/>
                <w:szCs w:val="20"/>
                <w:lang w:eastAsia="en-US"/>
              </w:rPr>
            </w:pPr>
            <w:r w:rsidRPr="00AD3E6A">
              <w:rPr>
                <w:rFonts w:ascii="Times New Roman" w:eastAsia="Times New Roman" w:hAnsi="Times New Roman" w:cs="Times New Roman"/>
                <w:sz w:val="20"/>
                <w:szCs w:val="20"/>
                <w:lang w:eastAsia="en-US"/>
              </w:rPr>
              <w:t xml:space="preserve">yes </w:t>
            </w:r>
          </w:p>
        </w:tc>
      </w:tr>
    </w:tbl>
    <w:p w:rsidR="002E0BB5" w:rsidRDefault="002E0BB5" w:rsidP="007C6468">
      <w:pPr>
        <w:pStyle w:val="Body"/>
        <w:rPr>
          <w:rFonts w:eastAsia="Times New Roman" w:cs="Times New Roman"/>
          <w:sz w:val="28"/>
          <w:szCs w:val="28"/>
          <w:vertAlign w:val="superscript"/>
          <w:lang w:eastAsia="en-US"/>
        </w:rPr>
      </w:pPr>
      <w:r>
        <w:rPr>
          <w:rFonts w:eastAsia="Times New Roman" w:cs="Times New Roman"/>
          <w:sz w:val="28"/>
          <w:szCs w:val="28"/>
          <w:vertAlign w:val="superscript"/>
          <w:lang w:eastAsia="en-US"/>
        </w:rPr>
        <w:t>a</w:t>
      </w:r>
      <w:r w:rsidRPr="002E0BB5">
        <w:rPr>
          <w:sz w:val="20"/>
          <w:szCs w:val="20"/>
        </w:rPr>
        <w:t xml:space="preserve"> </w:t>
      </w:r>
      <w:r w:rsidR="008A294C">
        <w:rPr>
          <w:sz w:val="20"/>
          <w:szCs w:val="20"/>
        </w:rPr>
        <w:t>See Tables II and III</w:t>
      </w:r>
      <w:r w:rsidR="002A0200">
        <w:rPr>
          <w:sz w:val="20"/>
          <w:szCs w:val="20"/>
        </w:rPr>
        <w:t xml:space="preserve">.  </w:t>
      </w:r>
      <w:r w:rsidR="008A294C">
        <w:rPr>
          <w:sz w:val="20"/>
          <w:szCs w:val="20"/>
        </w:rPr>
        <w:t xml:space="preserve">An initial </w:t>
      </w:r>
      <w:r>
        <w:rPr>
          <w:sz w:val="20"/>
          <w:szCs w:val="20"/>
        </w:rPr>
        <w:t xml:space="preserve">lower bound was inferred from ratio of measured air exposures/blood levels for </w:t>
      </w:r>
      <w:r w:rsidR="001E1766">
        <w:rPr>
          <w:sz w:val="20"/>
          <w:szCs w:val="20"/>
        </w:rPr>
        <w:t>relatively early years where blood levels had few non-detect values</w:t>
      </w:r>
      <w:r w:rsidR="00CB02F1">
        <w:rPr>
          <w:sz w:val="20"/>
          <w:szCs w:val="20"/>
        </w:rPr>
        <w:t xml:space="preserve"> (Table II)</w:t>
      </w:r>
      <w:r w:rsidR="001E1766">
        <w:rPr>
          <w:sz w:val="20"/>
          <w:szCs w:val="20"/>
        </w:rPr>
        <w:t xml:space="preserve">.  </w:t>
      </w:r>
      <w:r w:rsidR="008A294C">
        <w:rPr>
          <w:sz w:val="20"/>
          <w:szCs w:val="20"/>
        </w:rPr>
        <w:t>Later PBPK modeling established that even with a zero liver metabolism rate, and a 2 standard deviation low estimate of tissue/blood partition coefficients, the model could not produce a ratio as low as that indicated by the lower bound</w:t>
      </w:r>
      <w:r w:rsidR="001E1766">
        <w:rPr>
          <w:sz w:val="20"/>
          <w:szCs w:val="20"/>
        </w:rPr>
        <w:t xml:space="preserve">.  An </w:t>
      </w:r>
      <w:r w:rsidR="001A4073">
        <w:rPr>
          <w:sz w:val="20"/>
          <w:szCs w:val="20"/>
        </w:rPr>
        <w:t xml:space="preserve">initial </w:t>
      </w:r>
      <w:r w:rsidR="001E1766">
        <w:rPr>
          <w:sz w:val="20"/>
          <w:szCs w:val="20"/>
        </w:rPr>
        <w:t>upper bound was inferred from the ratio of excretion of the CPF metabolite TCP to the blood levels</w:t>
      </w:r>
      <w:r w:rsidR="00CB02F1">
        <w:rPr>
          <w:sz w:val="20"/>
          <w:szCs w:val="20"/>
        </w:rPr>
        <w:t xml:space="preserve"> (Table III)</w:t>
      </w:r>
      <w:r w:rsidR="001E1766">
        <w:rPr>
          <w:sz w:val="20"/>
          <w:szCs w:val="20"/>
        </w:rPr>
        <w:t>.  This was an upper bound because of other sources of TCP in urine, prominently including preformed TCP in diet from use of CPF in agriculture.</w:t>
      </w:r>
      <w:r w:rsidR="007A3FCF">
        <w:rPr>
          <w:sz w:val="20"/>
          <w:szCs w:val="20"/>
        </w:rPr>
        <w:fldChar w:fldCharType="begin">
          <w:fldData xml:space="preserve">PEVuZE5vdGU+PENpdGU+PEF1dGhvcj5FYXRvbjwvQXV0aG9yPjxZZWFyPjIwMDg8L1llYXI+PFJl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</w:fldData>
        </w:fldChar>
      </w:r>
      <w:r w:rsidR="00FC54EA">
        <w:rPr>
          <w:sz w:val="20"/>
          <w:szCs w:val="20"/>
        </w:rPr>
        <w:instrText xml:space="preserve"> ADDIN EN.CITE </w:instrText>
      </w:r>
      <w:r w:rsidR="007A3FCF">
        <w:rPr>
          <w:sz w:val="20"/>
          <w:szCs w:val="20"/>
        </w:rPr>
        <w:fldChar w:fldCharType="begin">
          <w:fldData xml:space="preserve">PEVuZE5vdGU+PENpdGU+PEF1dGhvcj5FYXRvbjwvQXV0aG9yPjxZZWFyPjIwMDg8L1llYXI+PFJl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</w:fldData>
        </w:fldChar>
      </w:r>
      <w:r w:rsidR="00FC54EA">
        <w:rPr>
          <w:sz w:val="20"/>
          <w:szCs w:val="20"/>
        </w:rPr>
        <w:instrText xml:space="preserve"> ADDIN EN.CITE.DATA </w:instrText>
      </w:r>
      <w:r w:rsidR="007A3FCF">
        <w:rPr>
          <w:sz w:val="20"/>
          <w:szCs w:val="20"/>
        </w:rPr>
      </w:r>
      <w:r w:rsidR="007A3FCF">
        <w:rPr>
          <w:sz w:val="20"/>
          <w:szCs w:val="20"/>
        </w:rPr>
        <w:fldChar w:fldCharType="end"/>
      </w:r>
      <w:r w:rsidR="007A3FCF">
        <w:rPr>
          <w:sz w:val="20"/>
          <w:szCs w:val="20"/>
        </w:rPr>
      </w:r>
      <w:r w:rsidR="007A3FCF">
        <w:rPr>
          <w:sz w:val="20"/>
          <w:szCs w:val="20"/>
        </w:rPr>
        <w:fldChar w:fldCharType="separate"/>
      </w:r>
      <w:r w:rsidR="00FC54EA" w:rsidRPr="00FC54EA">
        <w:rPr>
          <w:noProof/>
          <w:sz w:val="20"/>
          <w:szCs w:val="20"/>
          <w:vertAlign w:val="superscript"/>
        </w:rPr>
        <w:t>(</w:t>
      </w:r>
      <w:hyperlink w:anchor="_ENREF_23" w:tooltip="Eaton, 2008 #30" w:history="1">
        <w:r w:rsidR="00FC54EA" w:rsidRPr="00FC54EA">
          <w:rPr>
            <w:noProof/>
            <w:sz w:val="20"/>
            <w:szCs w:val="20"/>
            <w:vertAlign w:val="superscript"/>
          </w:rPr>
          <w:t>23</w:t>
        </w:r>
      </w:hyperlink>
      <w:r w:rsidR="00FC54EA" w:rsidRPr="00FC54EA">
        <w:rPr>
          <w:noProof/>
          <w:sz w:val="20"/>
          <w:szCs w:val="20"/>
          <w:vertAlign w:val="superscript"/>
        </w:rPr>
        <w:t>)</w:t>
      </w:r>
      <w:r w:rsidR="007A3FCF">
        <w:rPr>
          <w:sz w:val="20"/>
          <w:szCs w:val="20"/>
        </w:rPr>
        <w:fldChar w:fldCharType="end"/>
      </w:r>
      <w:r w:rsidR="001E1766">
        <w:rPr>
          <w:sz w:val="20"/>
          <w:szCs w:val="20"/>
        </w:rPr>
        <w:t xml:space="preserve">  </w:t>
      </w:r>
      <w:r w:rsidR="001A4073">
        <w:rPr>
          <w:sz w:val="20"/>
          <w:szCs w:val="20"/>
        </w:rPr>
        <w:t>These</w:t>
      </w:r>
      <w:r w:rsidR="001E1766">
        <w:rPr>
          <w:sz w:val="20"/>
          <w:szCs w:val="20"/>
        </w:rPr>
        <w:t xml:space="preserve"> bounds were treated as subjective 1%-99% confidence limits on</w:t>
      </w:r>
      <w:r w:rsidR="00793C56">
        <w:rPr>
          <w:sz w:val="20"/>
          <w:szCs w:val="20"/>
        </w:rPr>
        <w:t xml:space="preserve"> the inhalation/blood ratio.  </w:t>
      </w:r>
      <w:r w:rsidR="001E1766">
        <w:rPr>
          <w:sz w:val="20"/>
          <w:szCs w:val="20"/>
        </w:rPr>
        <w:t xml:space="preserve">PBPK-model based metabolism rates from the inhalation bounding distribution were used to </w:t>
      </w:r>
      <w:r w:rsidR="00793C56">
        <w:rPr>
          <w:sz w:val="20"/>
          <w:szCs w:val="20"/>
        </w:rPr>
        <w:t>infer corresponding percentiles of the liver metabolism rate distribution</w:t>
      </w:r>
      <w:r w:rsidR="001E1766">
        <w:rPr>
          <w:sz w:val="20"/>
          <w:szCs w:val="20"/>
        </w:rPr>
        <w:t>.</w:t>
      </w:r>
    </w:p>
    <w:p w:rsidR="00AD3E6A" w:rsidRDefault="002E0BB5" w:rsidP="001E1766">
      <w:pPr>
        <w:pStyle w:val="Body"/>
        <w:spacing w:before="0"/>
        <w:rPr>
          <w:sz w:val="20"/>
          <w:szCs w:val="20"/>
        </w:rPr>
      </w:pPr>
      <w:r>
        <w:rPr>
          <w:rFonts w:eastAsia="Times New Roman" w:cs="Times New Roman"/>
          <w:sz w:val="28"/>
          <w:szCs w:val="28"/>
          <w:vertAlign w:val="superscript"/>
          <w:lang w:eastAsia="en-US"/>
        </w:rPr>
        <w:t>b</w:t>
      </w:r>
      <w:r w:rsidR="007C6468">
        <w:rPr>
          <w:vertAlign w:val="superscript"/>
        </w:rPr>
        <w:t xml:space="preserve"> </w:t>
      </w:r>
      <w:r w:rsidR="005B6676">
        <w:rPr>
          <w:sz w:val="20"/>
          <w:szCs w:val="20"/>
        </w:rPr>
        <w:t>Data of Ito and Houston</w:t>
      </w:r>
      <w:r w:rsidR="00CD1609">
        <w:rPr>
          <w:sz w:val="20"/>
          <w:szCs w:val="20"/>
        </w:rPr>
        <w:t xml:space="preserve">  (2005)</w:t>
      </w:r>
      <w:r w:rsidR="00383FF0" w:rsidRPr="00383FF0">
        <w:t xml:space="preserve"> </w:t>
      </w:r>
      <w:r w:rsidR="007A3FCF">
        <w:rPr>
          <w:sz w:val="20"/>
          <w:szCs w:val="20"/>
        </w:rPr>
        <w:fldChar w:fldCharType="begin"/>
      </w:r>
      <w:r w:rsidR="00FC54EA">
        <w:rPr>
          <w:sz w:val="20"/>
          <w:szCs w:val="20"/>
        </w:rPr>
        <w:instrText xml:space="preserve"> ADDIN EN.CITE &lt;EndNote&gt;&lt;Cite&gt;&lt;Author&gt;Ito&lt;/Author&gt;&lt;Year&gt;2005&lt;/Year&gt;&lt;RecNum&gt;104&lt;/RecNum&gt;&lt;DisplayText&gt;&lt;style face="superscript"&gt;(24)&lt;/style&gt;&lt;/DisplayText&gt;&lt;record&gt;&lt;rec-number&gt;104&lt;/rec-number&gt;&lt;foreign-keys&gt;&lt;key app="EN" db-id="0pfddxea8wsvd7ea90uxwfr3evst259x2f0f"&gt;104&lt;/key&gt;&lt;/foreign-keys&gt;&lt;ref-type name="Journal Article"&gt;17&lt;/ref-type&gt;&lt;contributors&gt;&lt;authors&gt;&lt;author&gt;Ito, K, Houston, JB&lt;/author&gt;&lt;/authors&gt;&lt;/contributors&gt;&lt;titles&gt;&lt;title&gt;Prediction of human drug clearance from in vitro and preclinical data using physiologically based and empirical approaches&lt;/title&gt;&lt;secondary-title&gt;Pharmaceutical research&lt;/secondary-title&gt;&lt;/titles&gt;&lt;periodical&gt;&lt;full-title&gt;Pharmaceutical research&lt;/full-title&gt;&lt;abbr-1&gt;Pharm Res&lt;/abbr-1&gt;&lt;/periodical&gt;&lt;pages&gt;103-112&lt;/pages&gt;&lt;volume&gt;22&lt;/volume&gt;&lt;number&gt;1&lt;/number&gt;&lt;dates&gt;&lt;year&gt;2005&lt;/year&gt;&lt;/dates&gt;&lt;urls&gt;&lt;/urls&gt;&lt;/record&gt;&lt;/Cite&gt;&lt;/EndNote&gt;</w:instrText>
      </w:r>
      <w:r w:rsidR="007A3FCF">
        <w:rPr>
          <w:sz w:val="20"/>
          <w:szCs w:val="20"/>
        </w:rPr>
        <w:fldChar w:fldCharType="separate"/>
      </w:r>
      <w:r w:rsidR="00FC54EA" w:rsidRPr="00FC54EA">
        <w:rPr>
          <w:noProof/>
          <w:sz w:val="20"/>
          <w:szCs w:val="20"/>
          <w:vertAlign w:val="superscript"/>
        </w:rPr>
        <w:t>(</w:t>
      </w:r>
      <w:hyperlink w:anchor="_ENREF_24" w:tooltip="Ito, 2005 #104" w:history="1">
        <w:r w:rsidR="00FC54EA" w:rsidRPr="00FC54EA">
          <w:rPr>
            <w:noProof/>
            <w:sz w:val="20"/>
            <w:szCs w:val="20"/>
            <w:vertAlign w:val="superscript"/>
          </w:rPr>
          <w:t>24</w:t>
        </w:r>
      </w:hyperlink>
      <w:r w:rsidR="00FC54EA" w:rsidRPr="00FC54EA">
        <w:rPr>
          <w:noProof/>
          <w:sz w:val="20"/>
          <w:szCs w:val="20"/>
          <w:vertAlign w:val="superscript"/>
        </w:rPr>
        <w:t>)</w:t>
      </w:r>
      <w:r w:rsidR="007A3FCF">
        <w:rPr>
          <w:sz w:val="20"/>
          <w:szCs w:val="20"/>
        </w:rPr>
        <w:fldChar w:fldCharType="end"/>
      </w:r>
      <w:r w:rsidR="005B6676">
        <w:rPr>
          <w:sz w:val="20"/>
          <w:szCs w:val="20"/>
        </w:rPr>
        <w:t xml:space="preserve"> for 52 drugs indicate that microsomal data tend to underpredict in vivo clearance by a geometric mean ratio of 7.9 fold with a GSD for differences among chemicals of 2.98</w:t>
      </w:r>
      <w:r w:rsidR="00CD1609">
        <w:rPr>
          <w:sz w:val="20"/>
          <w:szCs w:val="20"/>
        </w:rPr>
        <w:t xml:space="preserve">.  This mean and log variance is used to represent the likely </w:t>
      </w:r>
      <w:r w:rsidR="00A74964">
        <w:rPr>
          <w:sz w:val="20"/>
          <w:szCs w:val="20"/>
        </w:rPr>
        <w:t xml:space="preserve">systematic </w:t>
      </w:r>
      <w:r w:rsidR="00CD1609">
        <w:rPr>
          <w:sz w:val="20"/>
          <w:szCs w:val="20"/>
        </w:rPr>
        <w:t xml:space="preserve">bias and </w:t>
      </w:r>
      <w:r w:rsidR="00A74964">
        <w:rPr>
          <w:sz w:val="20"/>
          <w:szCs w:val="20"/>
        </w:rPr>
        <w:t xml:space="preserve">random error </w:t>
      </w:r>
      <w:r w:rsidR="00CD1609">
        <w:rPr>
          <w:sz w:val="20"/>
          <w:szCs w:val="20"/>
        </w:rPr>
        <w:t>uncertainty in the microsome-based metabolism data.</w:t>
      </w:r>
    </w:p>
    <w:p w:rsidR="000F48A2" w:rsidRDefault="000F48A2" w:rsidP="00B96728">
      <w:pPr>
        <w:pBdr>
          <w:bottom w:val="single" w:sz="24" w:space="1" w:color="auto"/>
        </w:pBdr>
        <w:jc w:val="center"/>
        <w:rPr>
          <w:b/>
        </w:rPr>
        <w:sectPr w:rsidR="000F48A2" w:rsidSect="00191DA3">
          <w:pgSz w:w="18400" w:h="14220" w:orient="landscape"/>
          <w:pgMar w:top="1440" w:right="1440" w:bottom="1440" w:left="1440" w:header="720" w:footer="720" w:gutter="0"/>
          <w:cols w:space="720"/>
          <w:titlePg/>
        </w:sectPr>
      </w:pPr>
    </w:p>
    <w:p w:rsidR="00367AFE" w:rsidRPr="00367AFE" w:rsidRDefault="00367AFE" w:rsidP="0014452C">
      <w:pPr>
        <w:pStyle w:val="Body"/>
        <w:pBdr>
          <w:bottom w:val="single" w:sz="24" w:space="1" w:color="auto"/>
        </w:pBdr>
        <w:jc w:val="center"/>
        <w:rPr>
          <w:rFonts w:cs="Times New Roman"/>
          <w:b/>
        </w:rPr>
      </w:pPr>
      <w:r w:rsidRPr="00367AFE">
        <w:rPr>
          <w:rFonts w:cs="Times New Roman"/>
          <w:b/>
        </w:rPr>
        <w:lastRenderedPageBreak/>
        <w:t xml:space="preserve">Table II.  </w:t>
      </w:r>
      <w:r w:rsidRPr="00367AFE">
        <w:rPr>
          <w:rFonts w:cs="Times New Roman"/>
        </w:rPr>
        <w:t>Ratios of Columbia University Measured Air Exposures (Projected to the Birth Dates of the Babies) to Observed Maternal Blood Levels (ng/kg-day per pg/g of blood)</w:t>
      </w:r>
    </w:p>
    <w:tbl>
      <w:tblPr>
        <w:tblW w:w="9360" w:type="dxa"/>
        <w:tblInd w:w="108" w:type="dxa"/>
        <w:tblBorders>
          <w:bottom w:val="single" w:sz="24" w:space="0" w:color="auto"/>
        </w:tblBorders>
        <w:tblLayout w:type="fixed"/>
        <w:tblLook w:val="0000"/>
      </w:tblPr>
      <w:tblGrid>
        <w:gridCol w:w="2960"/>
        <w:gridCol w:w="6400"/>
      </w:tblGrid>
      <w:tr w:rsidR="00367AFE" w:rsidRPr="00FA3F4D" w:rsidTr="00265B96">
        <w:trPr>
          <w:trHeight w:val="20"/>
        </w:trPr>
        <w:tc>
          <w:tcPr>
            <w:tcW w:w="2960" w:type="dxa"/>
            <w:shd w:val="clear" w:color="auto" w:fill="auto"/>
            <w:noWrap/>
            <w:vAlign w:val="bottom"/>
          </w:tcPr>
          <w:p w:rsidR="00367AFE" w:rsidRPr="00FA3F4D" w:rsidRDefault="00367AFE" w:rsidP="00265B96">
            <w:pPr>
              <w:rPr>
                <w:rFonts w:ascii="Times New Roman" w:hAnsi="Times New Roman" w:cs="Times New Roman"/>
                <w:color w:val="000000"/>
              </w:rPr>
            </w:pPr>
          </w:p>
        </w:tc>
        <w:tc>
          <w:tcPr>
            <w:tcW w:w="6400" w:type="dxa"/>
            <w:shd w:val="clear" w:color="auto" w:fill="auto"/>
            <w:noWrap/>
            <w:vAlign w:val="bottom"/>
          </w:tcPr>
          <w:p w:rsidR="00367AFE" w:rsidRPr="00FA3F4D" w:rsidRDefault="00367AFE" w:rsidP="00265B96">
            <w:pPr>
              <w:rPr>
                <w:rFonts w:ascii="Times New Roman" w:hAnsi="Times New Roman" w:cs="Times New Roman"/>
                <w:color w:val="000000"/>
              </w:rPr>
            </w:pPr>
          </w:p>
        </w:tc>
      </w:tr>
      <w:tr w:rsidR="00367AFE" w:rsidRPr="00FA3F4D" w:rsidTr="00265B96">
        <w:trPr>
          <w:trHeight w:val="20"/>
        </w:trPr>
        <w:tc>
          <w:tcPr>
            <w:tcW w:w="2960" w:type="dxa"/>
            <w:tcBorders>
              <w:bottom w:val="single" w:sz="6" w:space="0" w:color="auto"/>
            </w:tcBorders>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Dates</w:t>
            </w:r>
          </w:p>
        </w:tc>
        <w:tc>
          <w:tcPr>
            <w:tcW w:w="6400" w:type="dxa"/>
            <w:tcBorders>
              <w:bottom w:val="single" w:sz="6" w:space="0" w:color="auto"/>
            </w:tcBorders>
            <w:shd w:val="clear" w:color="auto" w:fill="auto"/>
            <w:vAlign w:val="bottom"/>
          </w:tcPr>
          <w:p w:rsidR="00367AFE" w:rsidRPr="00FA3F4D" w:rsidRDefault="00367AFE" w:rsidP="00B326DD">
            <w:pPr>
              <w:ind w:left="1252"/>
              <w:rPr>
                <w:rFonts w:ascii="Times New Roman" w:hAnsi="Times New Roman" w:cs="Times New Roman"/>
                <w:color w:val="000000"/>
              </w:rPr>
            </w:pPr>
            <w:r w:rsidRPr="00FA3F4D">
              <w:rPr>
                <w:rFonts w:ascii="Times New Roman" w:hAnsi="Times New Roman" w:cs="Times New Roman"/>
                <w:color w:val="000000"/>
              </w:rPr>
              <w:t>air ng/kg-day per pg/g ma</w:t>
            </w:r>
            <w:r w:rsidR="00B326DD" w:rsidRPr="00FA3F4D">
              <w:rPr>
                <w:rFonts w:ascii="Times New Roman" w:hAnsi="Times New Roman" w:cs="Times New Roman"/>
                <w:color w:val="000000"/>
              </w:rPr>
              <w:t xml:space="preserve">ternal blood </w:t>
            </w:r>
          </w:p>
        </w:tc>
      </w:tr>
      <w:tr w:rsidR="00367AFE" w:rsidRPr="00FA3F4D" w:rsidTr="00265B96">
        <w:trPr>
          <w:trHeight w:val="20"/>
        </w:trPr>
        <w:tc>
          <w:tcPr>
            <w:tcW w:w="2960" w:type="dxa"/>
            <w:tcBorders>
              <w:top w:val="single" w:sz="6" w:space="0" w:color="auto"/>
              <w:bottom w:val="nil"/>
            </w:tcBorders>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3/15/98-4/27/99</w:t>
            </w:r>
          </w:p>
        </w:tc>
        <w:tc>
          <w:tcPr>
            <w:tcW w:w="6400" w:type="dxa"/>
            <w:tcBorders>
              <w:top w:val="single" w:sz="6" w:space="0" w:color="auto"/>
              <w:bottom w:val="nil"/>
            </w:tcBorders>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0.69</w:t>
            </w:r>
          </w:p>
        </w:tc>
      </w:tr>
      <w:tr w:rsidR="00367AFE" w:rsidRPr="00FA3F4D" w:rsidTr="00265B96">
        <w:trPr>
          <w:trHeight w:val="20"/>
        </w:trPr>
        <w:tc>
          <w:tcPr>
            <w:tcW w:w="2960" w:type="dxa"/>
            <w:tcBorders>
              <w:top w:val="nil"/>
            </w:tcBorders>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4/28/99-4/27/00</w:t>
            </w:r>
          </w:p>
        </w:tc>
        <w:tc>
          <w:tcPr>
            <w:tcW w:w="6400" w:type="dxa"/>
            <w:tcBorders>
              <w:top w:val="nil"/>
            </w:tcBorders>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0.43</w:t>
            </w:r>
          </w:p>
        </w:tc>
      </w:tr>
      <w:tr w:rsidR="00367AFE" w:rsidRPr="00FA3F4D" w:rsidTr="00265B96">
        <w:trPr>
          <w:trHeight w:val="20"/>
        </w:trPr>
        <w:tc>
          <w:tcPr>
            <w:tcW w:w="2960" w:type="dxa"/>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4/28/00-4/27/01</w:t>
            </w:r>
          </w:p>
        </w:tc>
        <w:tc>
          <w:tcPr>
            <w:tcW w:w="6400" w:type="dxa"/>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0.78</w:t>
            </w:r>
          </w:p>
        </w:tc>
      </w:tr>
      <w:tr w:rsidR="00367AFE" w:rsidRPr="00FA3F4D" w:rsidTr="00265B96">
        <w:trPr>
          <w:trHeight w:val="20"/>
        </w:trPr>
        <w:tc>
          <w:tcPr>
            <w:tcW w:w="2960" w:type="dxa"/>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4/28/01-4/27/02</w:t>
            </w:r>
          </w:p>
        </w:tc>
        <w:tc>
          <w:tcPr>
            <w:tcW w:w="6400" w:type="dxa"/>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2.85</w:t>
            </w:r>
          </w:p>
        </w:tc>
      </w:tr>
      <w:tr w:rsidR="00367AFE" w:rsidRPr="00FA3F4D" w:rsidTr="00265B96">
        <w:trPr>
          <w:trHeight w:val="20"/>
        </w:trPr>
        <w:tc>
          <w:tcPr>
            <w:tcW w:w="2960" w:type="dxa"/>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4/28/02-4/27/03</w:t>
            </w:r>
          </w:p>
        </w:tc>
        <w:tc>
          <w:tcPr>
            <w:tcW w:w="6400" w:type="dxa"/>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4.45</w:t>
            </w:r>
          </w:p>
        </w:tc>
      </w:tr>
      <w:tr w:rsidR="00367AFE" w:rsidRPr="00FA3F4D" w:rsidTr="00265B96">
        <w:trPr>
          <w:trHeight w:val="20"/>
        </w:trPr>
        <w:tc>
          <w:tcPr>
            <w:tcW w:w="2960" w:type="dxa"/>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4/28/03-6/27/04</w:t>
            </w:r>
          </w:p>
        </w:tc>
        <w:tc>
          <w:tcPr>
            <w:tcW w:w="6400" w:type="dxa"/>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10.13</w:t>
            </w:r>
          </w:p>
        </w:tc>
      </w:tr>
      <w:tr w:rsidR="00367AFE" w:rsidRPr="00FA3F4D" w:rsidTr="00265B96">
        <w:trPr>
          <w:trHeight w:val="20"/>
        </w:trPr>
        <w:tc>
          <w:tcPr>
            <w:tcW w:w="2960" w:type="dxa"/>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1998-4/27/2001 Average</w:t>
            </w:r>
          </w:p>
        </w:tc>
        <w:tc>
          <w:tcPr>
            <w:tcW w:w="6400" w:type="dxa"/>
            <w:shd w:val="clear" w:color="auto" w:fill="auto"/>
            <w:noWrap/>
            <w:vAlign w:val="bottom"/>
          </w:tcPr>
          <w:p w:rsidR="00367AFE" w:rsidRPr="00FA3F4D" w:rsidRDefault="00367AFE" w:rsidP="00265B96">
            <w:pPr>
              <w:jc w:val="center"/>
              <w:rPr>
                <w:rFonts w:ascii="Times New Roman" w:hAnsi="Times New Roman" w:cs="Times New Roman"/>
                <w:b/>
                <w:color w:val="000000"/>
                <w:vertAlign w:val="superscript"/>
              </w:rPr>
            </w:pPr>
            <w:r w:rsidRPr="00FA3F4D">
              <w:rPr>
                <w:rFonts w:ascii="Times New Roman" w:hAnsi="Times New Roman" w:cs="Times New Roman"/>
                <w:b/>
                <w:color w:val="000000"/>
              </w:rPr>
              <w:t>0.56</w:t>
            </w:r>
            <w:r w:rsidRPr="00FA3F4D">
              <w:rPr>
                <w:rFonts w:ascii="Times New Roman" w:hAnsi="Times New Roman" w:cs="Times New Roman"/>
                <w:b/>
                <w:color w:val="000000"/>
                <w:vertAlign w:val="superscript"/>
              </w:rPr>
              <w:t>a</w:t>
            </w:r>
          </w:p>
        </w:tc>
      </w:tr>
      <w:tr w:rsidR="00367AFE" w:rsidRPr="00FA3F4D" w:rsidTr="00265B96">
        <w:trPr>
          <w:trHeight w:val="20"/>
        </w:trPr>
        <w:tc>
          <w:tcPr>
            <w:tcW w:w="2960" w:type="dxa"/>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All Years Average</w:t>
            </w:r>
          </w:p>
        </w:tc>
        <w:tc>
          <w:tcPr>
            <w:tcW w:w="6400" w:type="dxa"/>
            <w:shd w:val="clear" w:color="auto" w:fill="auto"/>
            <w:noWrap/>
            <w:vAlign w:val="bottom"/>
          </w:tcPr>
          <w:p w:rsidR="00367AFE" w:rsidRPr="00FA3F4D" w:rsidRDefault="00367AFE" w:rsidP="00265B96">
            <w:pPr>
              <w:jc w:val="center"/>
              <w:rPr>
                <w:rFonts w:ascii="Times New Roman" w:hAnsi="Times New Roman" w:cs="Times New Roman"/>
                <w:color w:val="000000"/>
              </w:rPr>
            </w:pPr>
            <w:r w:rsidRPr="00FA3F4D">
              <w:rPr>
                <w:rFonts w:ascii="Times New Roman" w:hAnsi="Times New Roman" w:cs="Times New Roman"/>
                <w:color w:val="000000"/>
              </w:rPr>
              <w:t>0.83</w:t>
            </w:r>
          </w:p>
        </w:tc>
      </w:tr>
    </w:tbl>
    <w:p w:rsidR="00367AFE" w:rsidRPr="00857941" w:rsidRDefault="00367AFE" w:rsidP="00857941">
      <w:pPr>
        <w:pStyle w:val="Body2"/>
        <w:rPr>
          <w:sz w:val="20"/>
          <w:szCs w:val="20"/>
        </w:rPr>
      </w:pPr>
      <w:r w:rsidRPr="00367AFE">
        <w:rPr>
          <w:rFonts w:cs="Times New Roman"/>
          <w:b/>
          <w:color w:val="000000"/>
          <w:sz w:val="28"/>
          <w:szCs w:val="28"/>
          <w:vertAlign w:val="superscript"/>
        </w:rPr>
        <w:t>a</w:t>
      </w:r>
      <w:r w:rsidR="002A0200">
        <w:rPr>
          <w:rFonts w:cs="Times New Roman"/>
          <w:color w:val="000000"/>
          <w:sz w:val="20"/>
          <w:szCs w:val="20"/>
        </w:rPr>
        <w:t xml:space="preserve">This bolded value, for years when non-detects did not appreciably complicate estimation of the blood levels, </w:t>
      </w:r>
      <w:r w:rsidR="002A0200">
        <w:rPr>
          <w:sz w:val="20"/>
          <w:szCs w:val="20"/>
        </w:rPr>
        <w:t>was chosen as an initial lower bound for the inhalation dose/blood level ratio.  However l</w:t>
      </w:r>
      <w:r>
        <w:rPr>
          <w:rFonts w:cs="Times New Roman"/>
          <w:color w:val="000000"/>
          <w:sz w:val="20"/>
          <w:szCs w:val="20"/>
        </w:rPr>
        <w:t>ater PBPK mod</w:t>
      </w:r>
      <w:r w:rsidR="002A0200">
        <w:rPr>
          <w:rFonts w:cs="Times New Roman"/>
          <w:color w:val="000000"/>
          <w:sz w:val="20"/>
          <w:szCs w:val="20"/>
        </w:rPr>
        <w:t>eling established that</w:t>
      </w:r>
      <w:r>
        <w:rPr>
          <w:rFonts w:cs="Times New Roman"/>
          <w:color w:val="000000"/>
          <w:sz w:val="20"/>
          <w:szCs w:val="20"/>
        </w:rPr>
        <w:t xml:space="preserve"> dose/blood level ratio</w:t>
      </w:r>
      <w:r w:rsidR="002A0200">
        <w:rPr>
          <w:rFonts w:cs="Times New Roman"/>
          <w:color w:val="000000"/>
          <w:sz w:val="20"/>
          <w:szCs w:val="20"/>
        </w:rPr>
        <w:t>s</w:t>
      </w:r>
      <w:r>
        <w:rPr>
          <w:rFonts w:cs="Times New Roman"/>
          <w:color w:val="000000"/>
          <w:sz w:val="20"/>
          <w:szCs w:val="20"/>
        </w:rPr>
        <w:t xml:space="preserve"> could not be as low as this.  </w:t>
      </w:r>
      <w:r w:rsidR="00857941" w:rsidRPr="00857941">
        <w:rPr>
          <w:sz w:val="20"/>
          <w:szCs w:val="20"/>
        </w:rPr>
        <w:t xml:space="preserve">Even with zero chlorpyrifos metabolism rates, both the ingestion and inhalation models with baseline partition coefficients yielded minimum dose/blood level ratios of at least 1.92 ng/kg-day/pg/g blood.  With tissue/blood partition coefficients corresponding to 2 standard deviations below the inferred central estimate calculated from Lowe et al, (that is, a fat/blood partition coefficient of 94), a </w:t>
      </w:r>
      <w:r w:rsidR="00857941">
        <w:rPr>
          <w:sz w:val="20"/>
          <w:szCs w:val="20"/>
        </w:rPr>
        <w:t>z</w:t>
      </w:r>
      <w:r w:rsidR="00857941" w:rsidRPr="00857941">
        <w:rPr>
          <w:sz w:val="20"/>
          <w:szCs w:val="20"/>
        </w:rPr>
        <w:t>ero metabolism rate would yield a</w:t>
      </w:r>
      <w:r w:rsidR="00C347C6">
        <w:rPr>
          <w:sz w:val="20"/>
          <w:szCs w:val="20"/>
        </w:rPr>
        <w:t>n inhalation</w:t>
      </w:r>
      <w:r w:rsidR="00857941" w:rsidRPr="00857941">
        <w:rPr>
          <w:sz w:val="20"/>
          <w:szCs w:val="20"/>
        </w:rPr>
        <w:t xml:space="preserve"> dose/blood level ratio of 1.59 ng/kg-day/pg/</w:t>
      </w:r>
      <w:r w:rsidR="002A0200">
        <w:rPr>
          <w:sz w:val="20"/>
          <w:szCs w:val="20"/>
        </w:rPr>
        <w:t>g blood. Because of this, we ch</w:t>
      </w:r>
      <w:r w:rsidR="00857941" w:rsidRPr="00857941">
        <w:rPr>
          <w:sz w:val="20"/>
          <w:szCs w:val="20"/>
        </w:rPr>
        <w:t xml:space="preserve">ose to revise the lower bound </w:t>
      </w:r>
      <w:r w:rsidR="002A0200">
        <w:rPr>
          <w:sz w:val="20"/>
          <w:szCs w:val="20"/>
        </w:rPr>
        <w:t xml:space="preserve">of the inhalation dose/blood level ratio </w:t>
      </w:r>
      <w:r w:rsidR="00857941" w:rsidRPr="00857941">
        <w:rPr>
          <w:sz w:val="20"/>
          <w:szCs w:val="20"/>
        </w:rPr>
        <w:t>for our “bounding” calculation to 1.59 ng/kg-day/(pg/g blood)</w:t>
      </w:r>
      <w:r w:rsidR="002A0200">
        <w:rPr>
          <w:sz w:val="20"/>
          <w:szCs w:val="20"/>
        </w:rPr>
        <w:t>.</w:t>
      </w:r>
      <w:r w:rsidR="00E83BE4">
        <w:rPr>
          <w:sz w:val="20"/>
          <w:szCs w:val="20"/>
        </w:rPr>
        <w:t xml:space="preserve"> </w:t>
      </w:r>
    </w:p>
    <w:p w:rsidR="00367AFE" w:rsidRPr="00857941" w:rsidRDefault="00367AFE" w:rsidP="00367AFE">
      <w:pPr>
        <w:pStyle w:val="Body"/>
        <w:rPr>
          <w:sz w:val="20"/>
          <w:szCs w:val="20"/>
        </w:rPr>
      </w:pPr>
    </w:p>
    <w:p w:rsidR="00367AFE" w:rsidRPr="00FF433F" w:rsidRDefault="00367AFE" w:rsidP="00367AFE">
      <w:pPr>
        <w:jc w:val="center"/>
        <w:rPr>
          <w:rFonts w:ascii="Times New Roman" w:hAnsi="Times New Roman"/>
          <w:b/>
        </w:rPr>
      </w:pPr>
      <w:r>
        <w:br w:type="page"/>
      </w:r>
      <w:r>
        <w:rPr>
          <w:b/>
        </w:rPr>
        <w:lastRenderedPageBreak/>
        <w:t>Table III</w:t>
      </w:r>
      <w:r w:rsidRPr="00974F15">
        <w:rPr>
          <w:b/>
        </w:rPr>
        <w:t>.</w:t>
      </w:r>
      <w:r>
        <w:rPr>
          <w:b/>
        </w:rPr>
        <w:t xml:space="preserve"> </w:t>
      </w:r>
      <w:r>
        <w:t xml:space="preserve">Upper Bound Estimates of </w:t>
      </w:r>
      <w:r w:rsidR="0006338F">
        <w:t xml:space="preserve">the </w:t>
      </w:r>
      <w:r>
        <w:t>Chlorpyrifos Dose/Blood Level Based on Urinary TCPy Excretion</w:t>
      </w:r>
    </w:p>
    <w:tbl>
      <w:tblPr>
        <w:tblW w:w="9180" w:type="dxa"/>
        <w:tblInd w:w="108" w:type="dxa"/>
        <w:tblBorders>
          <w:top w:val="single" w:sz="24" w:space="0" w:color="auto"/>
          <w:bottom w:val="single" w:sz="24" w:space="0" w:color="auto"/>
        </w:tblBorders>
        <w:tblLayout w:type="fixed"/>
        <w:tblLook w:val="0000"/>
      </w:tblPr>
      <w:tblGrid>
        <w:gridCol w:w="1890"/>
        <w:gridCol w:w="2160"/>
        <w:gridCol w:w="2340"/>
        <w:gridCol w:w="2790"/>
      </w:tblGrid>
      <w:tr w:rsidR="00367AFE" w:rsidRPr="00CB475A" w:rsidTr="00265B96">
        <w:trPr>
          <w:trHeight w:val="20"/>
        </w:trPr>
        <w:tc>
          <w:tcPr>
            <w:tcW w:w="1890" w:type="dxa"/>
            <w:tcBorders>
              <w:bottom w:val="single" w:sz="6" w:space="0" w:color="auto"/>
            </w:tcBorders>
            <w:shd w:val="clear" w:color="auto" w:fill="auto"/>
            <w:vAlign w:val="bottom"/>
          </w:tcPr>
          <w:p w:rsidR="00367AFE" w:rsidRPr="00CB475A" w:rsidRDefault="00367AFE" w:rsidP="00265B96">
            <w:pPr>
              <w:jc w:val="center"/>
              <w:rPr>
                <w:rFonts w:ascii="Times New Roman" w:hAnsi="Times New Roman"/>
                <w:sz w:val="20"/>
                <w:szCs w:val="20"/>
              </w:rPr>
            </w:pPr>
            <w:r w:rsidRPr="00CB475A">
              <w:rPr>
                <w:rFonts w:ascii="Times New Roman" w:hAnsi="Times New Roman"/>
                <w:sz w:val="20"/>
                <w:szCs w:val="20"/>
              </w:rPr>
              <w:t>Time Period</w:t>
            </w:r>
          </w:p>
        </w:tc>
        <w:tc>
          <w:tcPr>
            <w:tcW w:w="2160" w:type="dxa"/>
            <w:tcBorders>
              <w:bottom w:val="single" w:sz="6" w:space="0" w:color="auto"/>
            </w:tcBorders>
            <w:shd w:val="clear" w:color="auto" w:fill="auto"/>
            <w:vAlign w:val="bottom"/>
          </w:tcPr>
          <w:p w:rsidR="00367AFE" w:rsidRPr="00CB475A" w:rsidRDefault="00367AFE" w:rsidP="00265B96">
            <w:pPr>
              <w:rPr>
                <w:rFonts w:ascii="Times New Roman" w:hAnsi="Times New Roman"/>
                <w:sz w:val="20"/>
                <w:szCs w:val="20"/>
              </w:rPr>
            </w:pPr>
            <w:r w:rsidRPr="00CB475A">
              <w:rPr>
                <w:rFonts w:ascii="Times New Roman" w:hAnsi="Times New Roman"/>
                <w:sz w:val="20"/>
                <w:szCs w:val="20"/>
              </w:rPr>
              <w:t>ng/kg-day per pg/g maternal</w:t>
            </w:r>
            <w:r>
              <w:rPr>
                <w:rFonts w:ascii="Times New Roman" w:hAnsi="Times New Roman"/>
                <w:sz w:val="20"/>
                <w:szCs w:val="20"/>
              </w:rPr>
              <w:t xml:space="preserve"> blood from volume-adjusted TCPy</w:t>
            </w:r>
            <w:r w:rsidRPr="00CB475A">
              <w:rPr>
                <w:rFonts w:ascii="Times New Roman" w:hAnsi="Times New Roman"/>
                <w:sz w:val="20"/>
                <w:szCs w:val="20"/>
              </w:rPr>
              <w:t xml:space="preserve"> excretion</w:t>
            </w:r>
            <w:r>
              <w:rPr>
                <w:rFonts w:ascii="Calibri" w:hAnsi="Calibri"/>
                <w:color w:val="000000"/>
                <w:sz w:val="32"/>
                <w:szCs w:val="32"/>
                <w:vertAlign w:val="superscript"/>
              </w:rPr>
              <w:t xml:space="preserve"> </w:t>
            </w:r>
            <w:r w:rsidRPr="00741E87">
              <w:rPr>
                <w:rFonts w:ascii="Calibri" w:hAnsi="Calibri"/>
                <w:color w:val="000000"/>
                <w:sz w:val="20"/>
                <w:szCs w:val="20"/>
                <w:vertAlign w:val="superscript"/>
              </w:rPr>
              <w:t>b</w:t>
            </w:r>
          </w:p>
        </w:tc>
        <w:tc>
          <w:tcPr>
            <w:tcW w:w="2340" w:type="dxa"/>
            <w:tcBorders>
              <w:bottom w:val="single" w:sz="6" w:space="0" w:color="auto"/>
            </w:tcBorders>
            <w:shd w:val="clear" w:color="auto" w:fill="auto"/>
            <w:vAlign w:val="bottom"/>
          </w:tcPr>
          <w:p w:rsidR="00367AFE" w:rsidRPr="00CB475A" w:rsidRDefault="00367AFE" w:rsidP="00265B96">
            <w:pPr>
              <w:rPr>
                <w:rFonts w:ascii="Times New Roman" w:hAnsi="Times New Roman"/>
                <w:sz w:val="20"/>
                <w:szCs w:val="20"/>
              </w:rPr>
            </w:pPr>
            <w:r w:rsidRPr="00CB475A">
              <w:rPr>
                <w:rFonts w:ascii="Times New Roman" w:hAnsi="Times New Roman"/>
                <w:sz w:val="20"/>
                <w:szCs w:val="20"/>
              </w:rPr>
              <w:t>ng/kg-day per pg/g maternal blo</w:t>
            </w:r>
            <w:r>
              <w:rPr>
                <w:rFonts w:ascii="Times New Roman" w:hAnsi="Times New Roman"/>
                <w:sz w:val="20"/>
                <w:szCs w:val="20"/>
              </w:rPr>
              <w:t>od from creatinine-adjusted TCPy</w:t>
            </w:r>
            <w:r w:rsidRPr="00CB475A">
              <w:rPr>
                <w:rFonts w:ascii="Times New Roman" w:hAnsi="Times New Roman"/>
                <w:sz w:val="20"/>
                <w:szCs w:val="20"/>
              </w:rPr>
              <w:t xml:space="preserve"> excretion</w:t>
            </w:r>
            <w:r>
              <w:rPr>
                <w:rFonts w:ascii="Calibri" w:hAnsi="Calibri"/>
                <w:color w:val="000000"/>
                <w:sz w:val="32"/>
                <w:szCs w:val="32"/>
                <w:vertAlign w:val="superscript"/>
              </w:rPr>
              <w:t xml:space="preserve"> </w:t>
            </w:r>
            <w:r w:rsidRPr="00741E87">
              <w:rPr>
                <w:rFonts w:ascii="Calibri" w:hAnsi="Calibri"/>
                <w:color w:val="000000"/>
                <w:sz w:val="20"/>
                <w:szCs w:val="20"/>
                <w:vertAlign w:val="superscript"/>
              </w:rPr>
              <w:t>b</w:t>
            </w:r>
          </w:p>
        </w:tc>
        <w:tc>
          <w:tcPr>
            <w:tcW w:w="2790" w:type="dxa"/>
            <w:tcBorders>
              <w:bottom w:val="single" w:sz="6" w:space="0" w:color="auto"/>
            </w:tcBorders>
            <w:shd w:val="clear" w:color="auto" w:fill="auto"/>
            <w:vAlign w:val="bottom"/>
          </w:tcPr>
          <w:p w:rsidR="00367AFE" w:rsidRPr="00CB475A" w:rsidRDefault="00367AFE" w:rsidP="00265B96">
            <w:pPr>
              <w:rPr>
                <w:rFonts w:ascii="Times New Roman" w:hAnsi="Times New Roman"/>
                <w:sz w:val="20"/>
                <w:szCs w:val="20"/>
              </w:rPr>
            </w:pPr>
            <w:r w:rsidRPr="00CB475A">
              <w:rPr>
                <w:rFonts w:ascii="Times New Roman" w:hAnsi="Times New Roman"/>
                <w:sz w:val="20"/>
                <w:szCs w:val="20"/>
              </w:rPr>
              <w:t>ng/kg-day per pg/g maternal blood from average of volu</w:t>
            </w:r>
            <w:r>
              <w:rPr>
                <w:rFonts w:ascii="Times New Roman" w:hAnsi="Times New Roman"/>
                <w:sz w:val="20"/>
                <w:szCs w:val="20"/>
              </w:rPr>
              <w:t>me- and creatinine-adjusted TCPy</w:t>
            </w:r>
            <w:r w:rsidRPr="00CB475A">
              <w:rPr>
                <w:rFonts w:ascii="Times New Roman" w:hAnsi="Times New Roman"/>
                <w:sz w:val="20"/>
                <w:szCs w:val="20"/>
              </w:rPr>
              <w:t xml:space="preserve"> excretion</w:t>
            </w:r>
          </w:p>
        </w:tc>
      </w:tr>
      <w:tr w:rsidR="00367AFE" w:rsidRPr="00CB475A" w:rsidTr="00265B96">
        <w:trPr>
          <w:trHeight w:val="20"/>
        </w:trPr>
        <w:tc>
          <w:tcPr>
            <w:tcW w:w="1890" w:type="dxa"/>
            <w:tcBorders>
              <w:top w:val="single" w:sz="6" w:space="0" w:color="auto"/>
              <w:bottom w:val="nil"/>
            </w:tcBorders>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 xml:space="preserve">   1998</w:t>
            </w:r>
            <w:r w:rsidRPr="00741E87">
              <w:rPr>
                <w:rFonts w:ascii="Times New Roman" w:hAnsi="Times New Roman" w:cs="Times New Roman"/>
                <w:color w:val="000000"/>
                <w:sz w:val="32"/>
                <w:szCs w:val="32"/>
                <w:vertAlign w:val="superscript"/>
              </w:rPr>
              <w:t xml:space="preserve"> a</w:t>
            </w:r>
          </w:p>
        </w:tc>
        <w:tc>
          <w:tcPr>
            <w:tcW w:w="2160" w:type="dxa"/>
            <w:tcBorders>
              <w:top w:val="single" w:sz="6" w:space="0" w:color="auto"/>
              <w:bottom w:val="nil"/>
            </w:tcBorders>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p>
        </w:tc>
        <w:tc>
          <w:tcPr>
            <w:tcW w:w="2340" w:type="dxa"/>
            <w:tcBorders>
              <w:top w:val="single" w:sz="6" w:space="0" w:color="auto"/>
              <w:bottom w:val="nil"/>
            </w:tcBorders>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p>
        </w:tc>
        <w:tc>
          <w:tcPr>
            <w:tcW w:w="2790" w:type="dxa"/>
            <w:tcBorders>
              <w:top w:val="single" w:sz="6" w:space="0" w:color="auto"/>
              <w:bottom w:val="nil"/>
            </w:tcBorders>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p>
        </w:tc>
      </w:tr>
      <w:tr w:rsidR="00367AFE" w:rsidRPr="00CB475A" w:rsidTr="00265B96">
        <w:trPr>
          <w:trHeight w:val="20"/>
        </w:trPr>
        <w:tc>
          <w:tcPr>
            <w:tcW w:w="1890" w:type="dxa"/>
            <w:tcBorders>
              <w:top w:val="nil"/>
            </w:tcBorders>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1999</w:t>
            </w:r>
          </w:p>
        </w:tc>
        <w:tc>
          <w:tcPr>
            <w:tcW w:w="2160" w:type="dxa"/>
            <w:tcBorders>
              <w:top w:val="nil"/>
            </w:tcBorders>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p>
        </w:tc>
        <w:tc>
          <w:tcPr>
            <w:tcW w:w="2340" w:type="dxa"/>
            <w:tcBorders>
              <w:top w:val="nil"/>
            </w:tcBorders>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p>
        </w:tc>
        <w:tc>
          <w:tcPr>
            <w:tcW w:w="2790" w:type="dxa"/>
            <w:tcBorders>
              <w:top w:val="nil"/>
            </w:tcBorders>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p>
        </w:tc>
      </w:tr>
      <w:tr w:rsidR="00367AFE" w:rsidRPr="00CB475A" w:rsidTr="00265B96">
        <w:trPr>
          <w:trHeight w:val="20"/>
        </w:trPr>
        <w:tc>
          <w:tcPr>
            <w:tcW w:w="189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2000</w:t>
            </w:r>
          </w:p>
        </w:tc>
        <w:tc>
          <w:tcPr>
            <w:tcW w:w="216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p>
        </w:tc>
        <w:tc>
          <w:tcPr>
            <w:tcW w:w="234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p>
        </w:tc>
        <w:tc>
          <w:tcPr>
            <w:tcW w:w="279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p>
        </w:tc>
      </w:tr>
      <w:tr w:rsidR="00367AFE" w:rsidRPr="00CB475A" w:rsidTr="00265B96">
        <w:trPr>
          <w:trHeight w:val="20"/>
        </w:trPr>
        <w:tc>
          <w:tcPr>
            <w:tcW w:w="189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2001</w:t>
            </w:r>
          </w:p>
        </w:tc>
        <w:tc>
          <w:tcPr>
            <w:tcW w:w="216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71.2</w:t>
            </w:r>
          </w:p>
        </w:tc>
        <w:tc>
          <w:tcPr>
            <w:tcW w:w="234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61.9</w:t>
            </w:r>
          </w:p>
        </w:tc>
        <w:tc>
          <w:tcPr>
            <w:tcW w:w="279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66.6</w:t>
            </w:r>
          </w:p>
        </w:tc>
      </w:tr>
      <w:tr w:rsidR="00367AFE" w:rsidRPr="00CB475A" w:rsidTr="00265B96">
        <w:trPr>
          <w:trHeight w:val="20"/>
        </w:trPr>
        <w:tc>
          <w:tcPr>
            <w:tcW w:w="189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2002</w:t>
            </w:r>
          </w:p>
        </w:tc>
        <w:tc>
          <w:tcPr>
            <w:tcW w:w="216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41.2</w:t>
            </w:r>
          </w:p>
        </w:tc>
        <w:tc>
          <w:tcPr>
            <w:tcW w:w="234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37.0</w:t>
            </w:r>
          </w:p>
        </w:tc>
        <w:tc>
          <w:tcPr>
            <w:tcW w:w="279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40.0</w:t>
            </w:r>
          </w:p>
        </w:tc>
      </w:tr>
      <w:tr w:rsidR="00367AFE" w:rsidRPr="00CB475A" w:rsidTr="00265B96">
        <w:trPr>
          <w:trHeight w:val="20"/>
        </w:trPr>
        <w:tc>
          <w:tcPr>
            <w:tcW w:w="189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2003</w:t>
            </w:r>
          </w:p>
        </w:tc>
        <w:tc>
          <w:tcPr>
            <w:tcW w:w="216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134.3</w:t>
            </w:r>
          </w:p>
        </w:tc>
        <w:tc>
          <w:tcPr>
            <w:tcW w:w="234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112.2</w:t>
            </w:r>
          </w:p>
        </w:tc>
        <w:tc>
          <w:tcPr>
            <w:tcW w:w="279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112.2</w:t>
            </w:r>
          </w:p>
        </w:tc>
      </w:tr>
      <w:tr w:rsidR="00367AFE" w:rsidRPr="00CB475A" w:rsidTr="00265B96">
        <w:trPr>
          <w:trHeight w:val="20"/>
        </w:trPr>
        <w:tc>
          <w:tcPr>
            <w:tcW w:w="189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2004</w:t>
            </w:r>
          </w:p>
        </w:tc>
        <w:tc>
          <w:tcPr>
            <w:tcW w:w="216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135.4</w:t>
            </w:r>
          </w:p>
        </w:tc>
        <w:tc>
          <w:tcPr>
            <w:tcW w:w="234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160.5</w:t>
            </w:r>
          </w:p>
        </w:tc>
        <w:tc>
          <w:tcPr>
            <w:tcW w:w="279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147.9</w:t>
            </w:r>
          </w:p>
        </w:tc>
      </w:tr>
      <w:tr w:rsidR="00367AFE" w:rsidRPr="00CB475A" w:rsidTr="00265B96">
        <w:trPr>
          <w:trHeight w:val="20"/>
        </w:trPr>
        <w:tc>
          <w:tcPr>
            <w:tcW w:w="189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2001-2</w:t>
            </w:r>
          </w:p>
        </w:tc>
        <w:tc>
          <w:tcPr>
            <w:tcW w:w="216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57.8</w:t>
            </w:r>
          </w:p>
        </w:tc>
        <w:tc>
          <w:tcPr>
            <w:tcW w:w="234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50.8</w:t>
            </w:r>
          </w:p>
        </w:tc>
        <w:tc>
          <w:tcPr>
            <w:tcW w:w="2790" w:type="dxa"/>
            <w:shd w:val="clear" w:color="auto" w:fill="auto"/>
            <w:noWrap/>
            <w:vAlign w:val="bottom"/>
          </w:tcPr>
          <w:p w:rsidR="00367AFE" w:rsidRPr="00741E87" w:rsidRDefault="00367AFE" w:rsidP="00265B96">
            <w:pPr>
              <w:jc w:val="center"/>
              <w:rPr>
                <w:rFonts w:ascii="Times New Roman" w:hAnsi="Times New Roman" w:cs="Times New Roman"/>
                <w:b/>
                <w:color w:val="000000"/>
                <w:sz w:val="22"/>
                <w:szCs w:val="22"/>
              </w:rPr>
            </w:pPr>
            <w:r w:rsidRPr="00741E87">
              <w:rPr>
                <w:rFonts w:ascii="Times New Roman" w:hAnsi="Times New Roman" w:cs="Times New Roman"/>
                <w:b/>
                <w:color w:val="000000"/>
                <w:sz w:val="22"/>
                <w:szCs w:val="22"/>
              </w:rPr>
              <w:t>54.3</w:t>
            </w:r>
            <w:r w:rsidRPr="00741E87">
              <w:rPr>
                <w:rFonts w:ascii="Calibri" w:hAnsi="Calibri"/>
                <w:color w:val="000000"/>
                <w:sz w:val="20"/>
                <w:szCs w:val="20"/>
                <w:vertAlign w:val="superscript"/>
              </w:rPr>
              <w:t xml:space="preserve"> </w:t>
            </w:r>
            <w:r>
              <w:rPr>
                <w:rFonts w:ascii="Calibri" w:hAnsi="Calibri"/>
                <w:color w:val="000000"/>
                <w:sz w:val="20"/>
                <w:szCs w:val="20"/>
                <w:vertAlign w:val="superscript"/>
              </w:rPr>
              <w:t>c</w:t>
            </w:r>
          </w:p>
        </w:tc>
      </w:tr>
      <w:tr w:rsidR="00367AFE" w:rsidRPr="00CB475A" w:rsidTr="00265B96">
        <w:trPr>
          <w:trHeight w:val="20"/>
        </w:trPr>
        <w:tc>
          <w:tcPr>
            <w:tcW w:w="189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All years</w:t>
            </w:r>
          </w:p>
        </w:tc>
        <w:tc>
          <w:tcPr>
            <w:tcW w:w="216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63.3</w:t>
            </w:r>
          </w:p>
        </w:tc>
        <w:tc>
          <w:tcPr>
            <w:tcW w:w="234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56.7</w:t>
            </w:r>
          </w:p>
        </w:tc>
        <w:tc>
          <w:tcPr>
            <w:tcW w:w="2790" w:type="dxa"/>
            <w:shd w:val="clear" w:color="auto" w:fill="auto"/>
            <w:noWrap/>
            <w:vAlign w:val="bottom"/>
          </w:tcPr>
          <w:p w:rsidR="00367AFE" w:rsidRPr="00741E87" w:rsidRDefault="00367AFE" w:rsidP="00265B96">
            <w:pPr>
              <w:jc w:val="center"/>
              <w:rPr>
                <w:rFonts w:ascii="Times New Roman" w:hAnsi="Times New Roman" w:cs="Times New Roman"/>
                <w:color w:val="000000"/>
                <w:sz w:val="22"/>
                <w:szCs w:val="22"/>
              </w:rPr>
            </w:pPr>
            <w:r w:rsidRPr="00741E87">
              <w:rPr>
                <w:rFonts w:ascii="Times New Roman" w:hAnsi="Times New Roman" w:cs="Times New Roman"/>
                <w:color w:val="000000"/>
                <w:sz w:val="22"/>
                <w:szCs w:val="22"/>
              </w:rPr>
              <w:t>59.8</w:t>
            </w:r>
          </w:p>
        </w:tc>
      </w:tr>
    </w:tbl>
    <w:p w:rsidR="00367AFE" w:rsidRPr="00B607D1" w:rsidRDefault="00367AFE" w:rsidP="00367AFE">
      <w:pPr>
        <w:pStyle w:val="Body"/>
        <w:spacing w:before="0"/>
        <w:rPr>
          <w:rFonts w:cs="Times New Roman"/>
          <w:color w:val="000000"/>
          <w:sz w:val="18"/>
          <w:szCs w:val="18"/>
        </w:rPr>
      </w:pPr>
      <w:r w:rsidRPr="00B607D1">
        <w:rPr>
          <w:rFonts w:cs="Times New Roman"/>
          <w:color w:val="000000"/>
          <w:sz w:val="18"/>
          <w:szCs w:val="18"/>
          <w:vertAlign w:val="superscript"/>
        </w:rPr>
        <w:t xml:space="preserve">a </w:t>
      </w:r>
      <w:r w:rsidRPr="00B607D1">
        <w:rPr>
          <w:rFonts w:cs="Times New Roman"/>
          <w:color w:val="000000"/>
          <w:sz w:val="18"/>
          <w:szCs w:val="18"/>
        </w:rPr>
        <w:t>No measurements of urinary TCPy were made before 2001.</w:t>
      </w:r>
    </w:p>
    <w:p w:rsidR="00367AFE" w:rsidRPr="00B607D1" w:rsidRDefault="00367AFE" w:rsidP="00367AFE">
      <w:pPr>
        <w:pStyle w:val="Body"/>
        <w:spacing w:before="0"/>
        <w:rPr>
          <w:sz w:val="18"/>
          <w:szCs w:val="18"/>
        </w:rPr>
      </w:pPr>
      <w:r w:rsidRPr="00B607D1">
        <w:rPr>
          <w:rFonts w:ascii="Calibri" w:hAnsi="Calibri"/>
          <w:color w:val="000000"/>
          <w:sz w:val="18"/>
          <w:szCs w:val="18"/>
          <w:vertAlign w:val="superscript"/>
        </w:rPr>
        <w:t>b</w:t>
      </w:r>
      <w:r w:rsidRPr="00B607D1">
        <w:rPr>
          <w:sz w:val="18"/>
          <w:szCs w:val="18"/>
        </w:rPr>
        <w:t xml:space="preserve"> Volume- and creatinine-correction formulae were based on data from Knuppel et al. (1979) </w:t>
      </w:r>
      <w:r w:rsidR="007A3FCF" w:rsidRPr="00B607D1">
        <w:rPr>
          <w:sz w:val="18"/>
          <w:szCs w:val="18"/>
        </w:rPr>
        <w:fldChar w:fldCharType="begin"/>
      </w:r>
      <w:r w:rsidR="00FC54EA">
        <w:rPr>
          <w:sz w:val="18"/>
          <w:szCs w:val="18"/>
        </w:rPr>
        <w:instrText xml:space="preserve"> ADDIN EN.CITE &lt;EndNote&gt;&lt;Cite&gt;&lt;Author&gt;Knuppel&lt;/Author&gt;&lt;Year&gt;1979&lt;/Year&gt;&lt;RecNum&gt;346&lt;/RecNum&gt;&lt;DisplayText&gt;&lt;style face="superscript"&gt;(25)&lt;/style&gt;&lt;/DisplayText&gt;&lt;record&gt;&lt;rec-number&gt;346&lt;/rec-number&gt;&lt;foreign-keys&gt;&lt;key app="EN" db-id="2f0wz59svt5xs8exzxzv0rslppppfsewvad5"&gt;346&lt;/key&gt;&lt;/foreign-keys&gt;&lt;ref-type name="Journal Article"&gt;17&lt;/ref-type&gt;&lt;contributors&gt;&lt;authors&gt;&lt;author&gt;Knuppel, R. A.&lt;/author&gt;&lt;author&gt;Sbarra, A. J.&lt;/author&gt;&lt;author&gt;Cetrulo, C. L.&lt;/author&gt;&lt;author&gt;Kappy, K. A.&lt;/author&gt;&lt;author&gt;Ingardia, C. J.&lt;/author&gt;&lt;author&gt;Selvaraj, R. J.&lt;/author&gt;&lt;/authors&gt;&lt;/contributors&gt;&lt;titles&gt;&lt;title&gt;24-hour urine creatinine excretion in pregnancy&lt;/title&gt;&lt;secondary-title&gt;Obstet Gynecol&lt;/secondary-title&gt;&lt;/titles&gt;&lt;periodical&gt;&lt;full-title&gt;Obstet Gynecol&lt;/full-title&gt;&lt;/periodical&gt;&lt;pages&gt;327-9&lt;/pages&gt;&lt;volume&gt;54&lt;/volume&gt;&lt;number&gt;3&lt;/number&gt;&lt;edition&gt;1979/09/01&lt;/edition&gt;&lt;keywords&gt;&lt;keyword&gt;Creatinine/*urine&lt;/keyword&gt;&lt;keyword&gt;Female&lt;/keyword&gt;&lt;keyword&gt;Humans&lt;/keyword&gt;&lt;keyword&gt;*Pregnancy&lt;/keyword&gt;&lt;keyword&gt;Pregnancy Complications/*urine&lt;/keyword&gt;&lt;keyword&gt;Specimen Handling&lt;/keyword&gt;&lt;keyword&gt;Time Factors&lt;/keyword&gt;&lt;/keywords&gt;&lt;dates&gt;&lt;year&gt;1979&lt;/year&gt;&lt;pub-dates&gt;&lt;date&gt;Sep&lt;/date&gt;&lt;/pub-dates&gt;&lt;/dates&gt;&lt;isbn&gt;0029-7844 (Print)&amp;#xD;0029-7844 (Linking)&lt;/isbn&gt;&lt;accession-num&gt;471373&lt;/accession-num&gt;&lt;urls&gt;&lt;related-urls&gt;&lt;url&gt;http://www.ncbi.nlm.nih.gov/entrez/query.fcgi?cmd=Retrieve&amp;amp;db=PubMed&amp;amp;dopt=Citation&amp;amp;list_uids=471373&lt;/url&gt;&lt;/related-urls&gt;&lt;/urls&gt;&lt;language&gt;eng&lt;/language&gt;&lt;/record&gt;&lt;/Cite&gt;&lt;/EndNote&gt;</w:instrText>
      </w:r>
      <w:r w:rsidR="007A3FCF" w:rsidRPr="00B607D1">
        <w:rPr>
          <w:sz w:val="18"/>
          <w:szCs w:val="18"/>
        </w:rPr>
        <w:fldChar w:fldCharType="separate"/>
      </w:r>
      <w:r w:rsidR="00FC54EA" w:rsidRPr="00FC54EA">
        <w:rPr>
          <w:noProof/>
          <w:sz w:val="18"/>
          <w:szCs w:val="18"/>
          <w:vertAlign w:val="superscript"/>
        </w:rPr>
        <w:t>(</w:t>
      </w:r>
      <w:hyperlink w:anchor="_ENREF_25" w:tooltip="Knuppel, 1979 #346" w:history="1">
        <w:r w:rsidR="00FC54EA" w:rsidRPr="00FC54EA">
          <w:rPr>
            <w:noProof/>
            <w:sz w:val="18"/>
            <w:szCs w:val="18"/>
            <w:vertAlign w:val="superscript"/>
          </w:rPr>
          <w:t>25</w:t>
        </w:r>
      </w:hyperlink>
      <w:r w:rsidR="00FC54EA" w:rsidRPr="00FC54EA">
        <w:rPr>
          <w:noProof/>
          <w:sz w:val="18"/>
          <w:szCs w:val="18"/>
          <w:vertAlign w:val="superscript"/>
        </w:rPr>
        <w:t>)</w:t>
      </w:r>
      <w:r w:rsidR="007A3FCF" w:rsidRPr="00B607D1">
        <w:rPr>
          <w:sz w:val="18"/>
          <w:szCs w:val="18"/>
        </w:rPr>
        <w:fldChar w:fldCharType="end"/>
      </w:r>
      <w:r w:rsidRPr="00B607D1">
        <w:rPr>
          <w:sz w:val="18"/>
          <w:szCs w:val="18"/>
        </w:rPr>
        <w:t xml:space="preserve">.  </w:t>
      </w:r>
    </w:p>
    <w:p w:rsidR="00F318A3" w:rsidRPr="00B607D1" w:rsidRDefault="00367AFE" w:rsidP="002A0200">
      <w:pPr>
        <w:pStyle w:val="Body"/>
        <w:spacing w:before="0"/>
        <w:rPr>
          <w:sz w:val="18"/>
          <w:szCs w:val="18"/>
        </w:rPr>
      </w:pPr>
      <w:r w:rsidRPr="00B607D1">
        <w:rPr>
          <w:rFonts w:ascii="Calibri" w:hAnsi="Calibri"/>
          <w:color w:val="000000"/>
          <w:sz w:val="18"/>
          <w:szCs w:val="18"/>
          <w:vertAlign w:val="superscript"/>
        </w:rPr>
        <w:t>c</w:t>
      </w:r>
      <w:r w:rsidRPr="00B607D1">
        <w:rPr>
          <w:sz w:val="18"/>
          <w:szCs w:val="18"/>
        </w:rPr>
        <w:t xml:space="preserve"> This value</w:t>
      </w:r>
      <w:r w:rsidR="00021276">
        <w:rPr>
          <w:sz w:val="18"/>
          <w:szCs w:val="18"/>
        </w:rPr>
        <w:t>, after rounding up to 55,</w:t>
      </w:r>
      <w:r w:rsidRPr="00B607D1">
        <w:rPr>
          <w:sz w:val="18"/>
          <w:szCs w:val="18"/>
        </w:rPr>
        <w:t xml:space="preserve"> was chosen to represent the upper bound of the </w:t>
      </w:r>
      <w:r w:rsidR="00BA3CF3" w:rsidRPr="00B607D1">
        <w:rPr>
          <w:sz w:val="18"/>
          <w:szCs w:val="18"/>
        </w:rPr>
        <w:t>oral</w:t>
      </w:r>
      <w:r w:rsidRPr="00B607D1">
        <w:rPr>
          <w:sz w:val="18"/>
          <w:szCs w:val="18"/>
        </w:rPr>
        <w:t xml:space="preserve"> dose/blood level distribution in the “prior” bounding calculation</w:t>
      </w:r>
      <w:r w:rsidR="009D315F" w:rsidRPr="00B607D1">
        <w:rPr>
          <w:sz w:val="18"/>
          <w:szCs w:val="18"/>
        </w:rPr>
        <w:t xml:space="preserve"> for the ingestion route of exposure</w:t>
      </w:r>
      <w:r w:rsidRPr="00B607D1">
        <w:rPr>
          <w:sz w:val="18"/>
          <w:szCs w:val="18"/>
        </w:rPr>
        <w:t>.</w:t>
      </w:r>
      <w:r w:rsidR="009D315F" w:rsidRPr="00B607D1">
        <w:rPr>
          <w:sz w:val="18"/>
          <w:szCs w:val="18"/>
        </w:rPr>
        <w:t xml:space="preserve">  However</w:t>
      </w:r>
      <w:r w:rsidR="00BA3CF3" w:rsidRPr="00B607D1">
        <w:rPr>
          <w:sz w:val="18"/>
          <w:szCs w:val="18"/>
        </w:rPr>
        <w:t>, for the inhalation route,</w:t>
      </w:r>
      <w:r w:rsidR="009D315F" w:rsidRPr="00B607D1">
        <w:rPr>
          <w:sz w:val="18"/>
          <w:szCs w:val="18"/>
        </w:rPr>
        <w:t xml:space="preserve"> the PBPK modeling revealed that even with an infinite rate of liver metabolism of chlorpyrifos (implemented in the model by reducing the release of chlorpyrifos from the liver to the venous circulation to zero) and baseline partition coefficients, the maximum inhalation chlorpyrifos dose/blood level was not expected to exceed </w:t>
      </w:r>
      <w:r w:rsidR="00CB17C0" w:rsidRPr="00B607D1">
        <w:rPr>
          <w:sz w:val="18"/>
          <w:szCs w:val="18"/>
        </w:rPr>
        <w:t xml:space="preserve">32.53.  With tissue/blood partition coefficients corresponding to 2 standard deviations above the inferred central estimate calculated from Lowe et al, (that is, a fat/blood partition coefficient of </w:t>
      </w:r>
      <w:r w:rsidR="00984E25" w:rsidRPr="00B607D1">
        <w:rPr>
          <w:sz w:val="18"/>
          <w:szCs w:val="18"/>
        </w:rPr>
        <w:t xml:space="preserve">about 148), </w:t>
      </w:r>
      <w:r w:rsidR="00353FB0" w:rsidRPr="00B607D1">
        <w:rPr>
          <w:sz w:val="18"/>
          <w:szCs w:val="18"/>
        </w:rPr>
        <w:t>the inhalation chlorpyrifos dose/blood level was not expected to exceed 32.98.</w:t>
      </w:r>
      <w:r w:rsidR="00255C0C" w:rsidRPr="00B607D1">
        <w:rPr>
          <w:sz w:val="18"/>
          <w:szCs w:val="18"/>
        </w:rPr>
        <w:t xml:space="preserve">  In the light of this</w:t>
      </w:r>
      <w:r w:rsidR="00B03451" w:rsidRPr="00B607D1">
        <w:rPr>
          <w:sz w:val="18"/>
          <w:szCs w:val="18"/>
        </w:rPr>
        <w:t xml:space="preserve"> constraint</w:t>
      </w:r>
      <w:r w:rsidR="00255C0C" w:rsidRPr="00B607D1">
        <w:rPr>
          <w:sz w:val="18"/>
          <w:szCs w:val="18"/>
        </w:rPr>
        <w:t xml:space="preserve">, we choose to revise the upper bound </w:t>
      </w:r>
      <w:r w:rsidR="00BA3CF3" w:rsidRPr="00B607D1">
        <w:rPr>
          <w:sz w:val="18"/>
          <w:szCs w:val="18"/>
        </w:rPr>
        <w:t xml:space="preserve">of the inhalation dose/blood ratio </w:t>
      </w:r>
      <w:r w:rsidR="00255C0C" w:rsidRPr="00B607D1">
        <w:rPr>
          <w:sz w:val="18"/>
          <w:szCs w:val="18"/>
        </w:rPr>
        <w:t>for our “bounding” calculation to 32.98 ng/kg-day/(pg/g blood)</w:t>
      </w:r>
      <w:r w:rsidR="00E83BE4" w:rsidRPr="00B607D1">
        <w:rPr>
          <w:sz w:val="18"/>
          <w:szCs w:val="18"/>
        </w:rPr>
        <w:t xml:space="preserve"> and we represent the uncertainty in the inhalation dose/blood level ratio as a normal distribution, with the 1%-99% confidence limits set at the lower and upper bounds as specified here and in Table II</w:t>
      </w:r>
      <w:r w:rsidR="00626991" w:rsidRPr="00B607D1">
        <w:rPr>
          <w:sz w:val="18"/>
          <w:szCs w:val="18"/>
        </w:rPr>
        <w:t>, with a truncation limit</w:t>
      </w:r>
      <w:r w:rsidR="002F3F39" w:rsidRPr="00B607D1">
        <w:rPr>
          <w:sz w:val="18"/>
          <w:szCs w:val="18"/>
        </w:rPr>
        <w:t>s</w:t>
      </w:r>
      <w:r w:rsidR="00626991" w:rsidRPr="00B607D1">
        <w:rPr>
          <w:sz w:val="18"/>
          <w:szCs w:val="18"/>
        </w:rPr>
        <w:t xml:space="preserve"> of 1.0</w:t>
      </w:r>
      <w:r w:rsidR="002F3F39" w:rsidRPr="00B607D1">
        <w:rPr>
          <w:sz w:val="18"/>
          <w:szCs w:val="18"/>
        </w:rPr>
        <w:t xml:space="preserve"> and 35</w:t>
      </w:r>
      <w:r w:rsidR="00255C0C" w:rsidRPr="00B607D1">
        <w:rPr>
          <w:sz w:val="18"/>
          <w:szCs w:val="18"/>
        </w:rPr>
        <w:t>.</w:t>
      </w:r>
      <w:r w:rsidR="00BA3CF3" w:rsidRPr="00B607D1">
        <w:rPr>
          <w:sz w:val="18"/>
          <w:szCs w:val="18"/>
        </w:rPr>
        <w:t xml:space="preserve">  </w:t>
      </w:r>
      <w:r w:rsidR="003A4696" w:rsidRPr="00B607D1">
        <w:rPr>
          <w:sz w:val="18"/>
          <w:szCs w:val="18"/>
        </w:rPr>
        <w:t>PBPK-based metabolism rates derived from 100 fractiles of the inhalation model were then first input into the version of the PBPK model with absorption via the oral route.  This yielded unrestricted ratios of ingestion d</w:t>
      </w:r>
      <w:r w:rsidR="00613D3B">
        <w:rPr>
          <w:sz w:val="18"/>
          <w:szCs w:val="18"/>
        </w:rPr>
        <w:t xml:space="preserve">ose/blood level ranging from 2 to over 1120 for values of the inhalation dose/blood ratio ranging from </w:t>
      </w:r>
      <w:r w:rsidR="005F71FF">
        <w:rPr>
          <w:sz w:val="18"/>
          <w:szCs w:val="18"/>
        </w:rPr>
        <w:t xml:space="preserve">1.8 to 32.5 </w:t>
      </w:r>
      <w:r w:rsidR="003A4696" w:rsidRPr="00B607D1">
        <w:rPr>
          <w:sz w:val="18"/>
          <w:szCs w:val="18"/>
        </w:rPr>
        <w:t xml:space="preserve">with central estimate tissue/blood partition coefficients.  </w:t>
      </w:r>
      <w:r w:rsidR="00284A2E">
        <w:rPr>
          <w:sz w:val="18"/>
          <w:szCs w:val="18"/>
        </w:rPr>
        <w:t xml:space="preserve">The full </w:t>
      </w:r>
      <w:r w:rsidR="00F318A3" w:rsidRPr="00B607D1">
        <w:rPr>
          <w:sz w:val="18"/>
          <w:szCs w:val="18"/>
        </w:rPr>
        <w:t>unrestricted model equation was:</w:t>
      </w:r>
    </w:p>
    <w:p w:rsidR="00CC69E2" w:rsidRPr="00B607D1" w:rsidRDefault="00CC69E2" w:rsidP="002A0200">
      <w:pPr>
        <w:pStyle w:val="Body"/>
        <w:spacing w:before="0"/>
        <w:rPr>
          <w:sz w:val="18"/>
          <w:szCs w:val="18"/>
        </w:rPr>
      </w:pPr>
    </w:p>
    <w:p w:rsidR="00F318A3" w:rsidRPr="00B607D1" w:rsidRDefault="00CC69E2" w:rsidP="00F318A3">
      <w:pPr>
        <w:rPr>
          <w:rFonts w:ascii="Times New Roman" w:hAnsi="Times New Roman" w:cs="Times New Roman"/>
          <w:sz w:val="18"/>
          <w:szCs w:val="18"/>
        </w:rPr>
      </w:pPr>
      <w:r w:rsidRPr="00B607D1">
        <w:rPr>
          <w:rFonts w:ascii="Times New Roman" w:hAnsi="Times New Roman" w:cs="Times New Roman"/>
          <w:position w:val="-10"/>
          <w:sz w:val="18"/>
          <w:szCs w:val="18"/>
        </w:rPr>
        <w:object w:dxaOrig="8940" w:dyaOrig="360">
          <v:shape id="_x0000_i1029" type="#_x0000_t75" style="width:472pt;height:19pt" o:ole="">
            <v:imagedata r:id="rId21" o:title=""/>
          </v:shape>
          <o:OLEObject Type="Embed" ProgID="Equation.3" ShapeID="_x0000_i1029" DrawAspect="Content" ObjectID="_1424520306" r:id="rId22"/>
        </w:object>
      </w:r>
    </w:p>
    <w:p w:rsidR="00F318A3" w:rsidRPr="00B607D1" w:rsidRDefault="00F318A3" w:rsidP="002A0200">
      <w:pPr>
        <w:pStyle w:val="Body"/>
        <w:spacing w:before="0"/>
        <w:rPr>
          <w:sz w:val="18"/>
          <w:szCs w:val="18"/>
        </w:rPr>
      </w:pPr>
      <w:r w:rsidRPr="00B607D1">
        <w:rPr>
          <w:sz w:val="18"/>
          <w:szCs w:val="18"/>
        </w:rPr>
        <w:t>Where</w:t>
      </w:r>
    </w:p>
    <w:p w:rsidR="00F318A3" w:rsidRPr="00B607D1" w:rsidRDefault="00F318A3" w:rsidP="002A0200">
      <w:pPr>
        <w:pStyle w:val="Body"/>
        <w:spacing w:before="0"/>
        <w:rPr>
          <w:sz w:val="18"/>
          <w:szCs w:val="18"/>
        </w:rPr>
      </w:pPr>
    </w:p>
    <w:p w:rsidR="00F318A3" w:rsidRPr="00B607D1" w:rsidRDefault="00F318A3" w:rsidP="00F318A3">
      <w:pPr>
        <w:rPr>
          <w:rFonts w:ascii="Times New Roman" w:hAnsi="Times New Roman" w:cs="Times New Roman"/>
          <w:sz w:val="18"/>
          <w:szCs w:val="18"/>
        </w:rPr>
      </w:pPr>
      <w:r w:rsidRPr="00B607D1">
        <w:rPr>
          <w:rFonts w:ascii="Times New Roman" w:hAnsi="Times New Roman" w:cs="Times New Roman"/>
          <w:sz w:val="18"/>
          <w:szCs w:val="18"/>
        </w:rPr>
        <w:t>base = 1.89</w:t>
      </w:r>
    </w:p>
    <w:p w:rsidR="00F318A3" w:rsidRPr="00B607D1" w:rsidRDefault="00CC69E2" w:rsidP="00F318A3">
      <w:pPr>
        <w:rPr>
          <w:rFonts w:ascii="Times New Roman" w:hAnsi="Times New Roman" w:cs="Times New Roman"/>
          <w:sz w:val="18"/>
          <w:szCs w:val="18"/>
        </w:rPr>
      </w:pPr>
      <w:r w:rsidRPr="00B607D1">
        <w:rPr>
          <w:rFonts w:ascii="Times New Roman" w:hAnsi="Times New Roman" w:cs="Times New Roman"/>
          <w:sz w:val="18"/>
          <w:szCs w:val="18"/>
        </w:rPr>
        <w:t>coeff</w:t>
      </w:r>
      <w:r w:rsidR="00F318A3" w:rsidRPr="00B607D1">
        <w:rPr>
          <w:rFonts w:ascii="Times New Roman" w:hAnsi="Times New Roman" w:cs="Times New Roman"/>
          <w:sz w:val="18"/>
          <w:szCs w:val="18"/>
        </w:rPr>
        <w:t xml:space="preserve"> = 175.7</w:t>
      </w:r>
    </w:p>
    <w:p w:rsidR="00CC69E2" w:rsidRPr="00B607D1" w:rsidRDefault="00CC69E2" w:rsidP="00680D4C">
      <w:pPr>
        <w:ind w:left="720" w:hanging="720"/>
        <w:rPr>
          <w:rFonts w:ascii="Times New Roman" w:hAnsi="Times New Roman" w:cs="Times New Roman"/>
          <w:sz w:val="18"/>
          <w:szCs w:val="18"/>
        </w:rPr>
      </w:pPr>
      <w:r w:rsidRPr="00B607D1">
        <w:rPr>
          <w:rFonts w:ascii="Times New Roman" w:hAnsi="Times New Roman" w:cs="Times New Roman"/>
          <w:sz w:val="18"/>
          <w:szCs w:val="18"/>
        </w:rPr>
        <w:t>liv met rate = liver</w:t>
      </w:r>
      <w:r w:rsidR="00680D4C" w:rsidRPr="00B607D1">
        <w:rPr>
          <w:rFonts w:ascii="Times New Roman" w:hAnsi="Times New Roman" w:cs="Times New Roman"/>
          <w:sz w:val="18"/>
          <w:szCs w:val="18"/>
        </w:rPr>
        <w:t xml:space="preserve"> metabolism rate (per minute) (inferred for each </w:t>
      </w:r>
      <w:r w:rsidR="00EA6D56">
        <w:rPr>
          <w:rFonts w:ascii="Times New Roman" w:hAnsi="Times New Roman" w:cs="Times New Roman"/>
          <w:sz w:val="18"/>
          <w:szCs w:val="18"/>
        </w:rPr>
        <w:t>modeled value of the</w:t>
      </w:r>
      <w:r w:rsidR="00680D4C" w:rsidRPr="00B607D1">
        <w:rPr>
          <w:rFonts w:ascii="Times New Roman" w:hAnsi="Times New Roman" w:cs="Times New Roman"/>
          <w:sz w:val="18"/>
          <w:szCs w:val="18"/>
        </w:rPr>
        <w:t xml:space="preserve"> distribution of the bounded inhalation dose/blood level relationship)</w:t>
      </w:r>
    </w:p>
    <w:p w:rsidR="00F318A3" w:rsidRPr="00B607D1" w:rsidRDefault="00F318A3" w:rsidP="00F318A3">
      <w:pPr>
        <w:rPr>
          <w:rFonts w:ascii="Times New Roman" w:hAnsi="Times New Roman" w:cs="Times New Roman"/>
          <w:sz w:val="18"/>
          <w:szCs w:val="18"/>
        </w:rPr>
      </w:pPr>
      <w:r w:rsidRPr="00B607D1">
        <w:rPr>
          <w:rFonts w:ascii="Times New Roman" w:hAnsi="Times New Roman" w:cs="Times New Roman"/>
          <w:sz w:val="18"/>
          <w:szCs w:val="18"/>
        </w:rPr>
        <w:t>fitted exponent = 1.07</w:t>
      </w:r>
    </w:p>
    <w:p w:rsidR="00F318A3" w:rsidRPr="00B607D1" w:rsidRDefault="00F318A3" w:rsidP="00F318A3">
      <w:pPr>
        <w:rPr>
          <w:rFonts w:ascii="Times New Roman" w:hAnsi="Times New Roman" w:cs="Times New Roman"/>
          <w:sz w:val="18"/>
          <w:szCs w:val="18"/>
        </w:rPr>
      </w:pPr>
      <w:r w:rsidRPr="00B607D1">
        <w:rPr>
          <w:rFonts w:ascii="Times New Roman" w:hAnsi="Times New Roman" w:cs="Times New Roman"/>
          <w:sz w:val="18"/>
          <w:szCs w:val="18"/>
        </w:rPr>
        <w:t>liv bl partco = liver blood partition coefficient (with a central estimate value of 6.12).</w:t>
      </w:r>
    </w:p>
    <w:p w:rsidR="00F318A3" w:rsidRPr="00B607D1" w:rsidRDefault="00F318A3" w:rsidP="002A0200">
      <w:pPr>
        <w:pStyle w:val="Body"/>
        <w:spacing w:before="0"/>
        <w:rPr>
          <w:sz w:val="18"/>
          <w:szCs w:val="18"/>
        </w:rPr>
      </w:pPr>
    </w:p>
    <w:p w:rsidR="002A0200" w:rsidRPr="00B607D1" w:rsidRDefault="00824F31" w:rsidP="002A0200">
      <w:pPr>
        <w:pStyle w:val="Body"/>
        <w:spacing w:before="0"/>
        <w:rPr>
          <w:sz w:val="18"/>
          <w:szCs w:val="18"/>
        </w:rPr>
      </w:pPr>
      <w:r w:rsidRPr="00B607D1">
        <w:rPr>
          <w:sz w:val="18"/>
          <w:szCs w:val="18"/>
        </w:rPr>
        <w:t>Using these unlimited ingestion dose ratio results as</w:t>
      </w:r>
      <w:r w:rsidR="003F356C">
        <w:rPr>
          <w:sz w:val="18"/>
          <w:szCs w:val="18"/>
        </w:rPr>
        <w:t xml:space="preserve"> inputs, the upper limit of 55</w:t>
      </w:r>
      <w:r w:rsidRPr="00B607D1">
        <w:rPr>
          <w:sz w:val="18"/>
          <w:szCs w:val="18"/>
        </w:rPr>
        <w:t xml:space="preserve"> was imposed via a Michaelis-Menten-like saturation equation form:</w:t>
      </w:r>
    </w:p>
    <w:p w:rsidR="00824F31" w:rsidRPr="00B607D1" w:rsidRDefault="00824F31" w:rsidP="002A0200">
      <w:pPr>
        <w:pStyle w:val="Body"/>
        <w:spacing w:before="0"/>
        <w:rPr>
          <w:sz w:val="18"/>
          <w:szCs w:val="18"/>
        </w:rPr>
      </w:pPr>
    </w:p>
    <w:p w:rsidR="00824F31" w:rsidRPr="00B607D1" w:rsidRDefault="00824F31" w:rsidP="002A0200">
      <w:pPr>
        <w:pStyle w:val="Body"/>
        <w:spacing w:before="0"/>
        <w:rPr>
          <w:sz w:val="18"/>
          <w:szCs w:val="18"/>
        </w:rPr>
      </w:pPr>
      <w:r w:rsidRPr="00B607D1">
        <w:rPr>
          <w:sz w:val="18"/>
          <w:szCs w:val="18"/>
        </w:rPr>
        <w:t>Limited oral dose</w:t>
      </w:r>
      <w:r w:rsidR="001F5F35" w:rsidRPr="00B607D1">
        <w:rPr>
          <w:sz w:val="18"/>
          <w:szCs w:val="18"/>
        </w:rPr>
        <w:t>/blood</w:t>
      </w:r>
      <w:r w:rsidRPr="00B607D1">
        <w:rPr>
          <w:sz w:val="18"/>
          <w:szCs w:val="18"/>
        </w:rPr>
        <w:t xml:space="preserve"> ratio = </w:t>
      </w:r>
      <w:r w:rsidR="00B607D1" w:rsidRPr="00B607D1">
        <w:rPr>
          <w:position w:val="-24"/>
          <w:sz w:val="18"/>
          <w:szCs w:val="18"/>
        </w:rPr>
        <w:object w:dxaOrig="4320" w:dyaOrig="620">
          <v:shape id="_x0000_i1030" type="#_x0000_t75" style="width:3in;height:31pt" o:ole="">
            <v:imagedata r:id="rId23" o:title=""/>
          </v:shape>
          <o:OLEObject Type="Embed" ProgID="Equation.3" ShapeID="_x0000_i1030" DrawAspect="Content" ObjectID="_1424520307" r:id="rId24"/>
        </w:object>
      </w:r>
    </w:p>
    <w:p w:rsidR="00B607D1" w:rsidRPr="00B607D1" w:rsidRDefault="00B607D1" w:rsidP="002A0200">
      <w:pPr>
        <w:pStyle w:val="Body"/>
        <w:spacing w:before="0"/>
        <w:rPr>
          <w:sz w:val="18"/>
          <w:szCs w:val="18"/>
        </w:rPr>
      </w:pPr>
    </w:p>
    <w:p w:rsidR="00B607D1" w:rsidRPr="00B607D1" w:rsidRDefault="00B607D1" w:rsidP="002A0200">
      <w:pPr>
        <w:pStyle w:val="Body"/>
        <w:spacing w:before="0"/>
        <w:rPr>
          <w:sz w:val="18"/>
          <w:szCs w:val="18"/>
        </w:rPr>
      </w:pPr>
      <w:r w:rsidRPr="00B607D1">
        <w:rPr>
          <w:sz w:val="18"/>
          <w:szCs w:val="18"/>
        </w:rPr>
        <w:t xml:space="preserve">Where </w:t>
      </w:r>
    </w:p>
    <w:p w:rsidR="00B607D1" w:rsidRPr="00B607D1" w:rsidRDefault="00B607D1" w:rsidP="002A0200">
      <w:pPr>
        <w:pStyle w:val="Body"/>
        <w:spacing w:before="0"/>
        <w:rPr>
          <w:sz w:val="18"/>
          <w:szCs w:val="18"/>
        </w:rPr>
      </w:pPr>
      <w:r w:rsidRPr="00B607D1">
        <w:rPr>
          <w:sz w:val="18"/>
          <w:szCs w:val="18"/>
        </w:rPr>
        <w:t>max ratio = 55</w:t>
      </w:r>
    </w:p>
    <w:p w:rsidR="00B607D1" w:rsidRPr="00B607D1" w:rsidRDefault="005F71FF" w:rsidP="002A0200">
      <w:pPr>
        <w:pStyle w:val="Body"/>
        <w:spacing w:before="0"/>
        <w:rPr>
          <w:sz w:val="18"/>
          <w:szCs w:val="18"/>
        </w:rPr>
      </w:pPr>
      <w:r>
        <w:rPr>
          <w:sz w:val="18"/>
          <w:szCs w:val="18"/>
        </w:rPr>
        <w:t>half-sat value = 3</w:t>
      </w:r>
      <w:r w:rsidR="00B607D1" w:rsidRPr="00B607D1">
        <w:rPr>
          <w:sz w:val="18"/>
          <w:szCs w:val="18"/>
        </w:rPr>
        <w:t>5</w:t>
      </w:r>
    </w:p>
    <w:p w:rsidR="00B607D1" w:rsidRPr="00B607D1" w:rsidRDefault="00B607D1" w:rsidP="002A0200">
      <w:pPr>
        <w:pStyle w:val="Body"/>
        <w:spacing w:before="0"/>
        <w:rPr>
          <w:sz w:val="18"/>
          <w:szCs w:val="18"/>
        </w:rPr>
      </w:pPr>
    </w:p>
    <w:p w:rsidR="00B607D1" w:rsidRPr="00B607D1" w:rsidRDefault="00B607D1" w:rsidP="002A0200">
      <w:pPr>
        <w:pStyle w:val="Body"/>
        <w:spacing w:before="0"/>
        <w:rPr>
          <w:sz w:val="18"/>
          <w:szCs w:val="18"/>
        </w:rPr>
      </w:pPr>
      <w:r w:rsidRPr="00B607D1">
        <w:rPr>
          <w:sz w:val="18"/>
          <w:szCs w:val="18"/>
        </w:rPr>
        <w:t xml:space="preserve">Choice of these values allowed the predicted oral dose/blood level ratios to maintain agreement throughout the entire range of fractiles with the dual constraints that </w:t>
      </w:r>
      <w:r w:rsidR="009B63D9">
        <w:rPr>
          <w:sz w:val="18"/>
          <w:szCs w:val="18"/>
        </w:rPr>
        <w:t xml:space="preserve">(1) </w:t>
      </w:r>
      <w:r w:rsidRPr="00B607D1">
        <w:rPr>
          <w:sz w:val="18"/>
          <w:szCs w:val="18"/>
        </w:rPr>
        <w:t xml:space="preserve">the oral dose/blood ratio should be less than 55 and </w:t>
      </w:r>
      <w:r w:rsidR="009B63D9">
        <w:rPr>
          <w:sz w:val="18"/>
          <w:szCs w:val="18"/>
        </w:rPr>
        <w:t xml:space="preserve">(2) </w:t>
      </w:r>
      <w:r w:rsidRPr="00B607D1">
        <w:rPr>
          <w:sz w:val="18"/>
          <w:szCs w:val="18"/>
        </w:rPr>
        <w:t>greater than the inhalation dose/blood level</w:t>
      </w:r>
      <w:r w:rsidR="009B63D9">
        <w:rPr>
          <w:sz w:val="18"/>
          <w:szCs w:val="18"/>
        </w:rPr>
        <w:t xml:space="preserve"> ratio</w:t>
      </w:r>
      <w:r w:rsidRPr="00B607D1">
        <w:rPr>
          <w:sz w:val="18"/>
          <w:szCs w:val="18"/>
        </w:rPr>
        <w:t xml:space="preserve"> that was used to derive the liver metabolism rate.</w:t>
      </w:r>
    </w:p>
    <w:p w:rsidR="0095251C" w:rsidRDefault="00367AFE" w:rsidP="00FD44E3">
      <w:pPr>
        <w:pStyle w:val="Body"/>
        <w:pBdr>
          <w:bottom w:val="single" w:sz="24" w:space="1" w:color="auto"/>
        </w:pBdr>
        <w:spacing w:before="0"/>
      </w:pPr>
      <w:r w:rsidRPr="00573B9B">
        <w:rPr>
          <w:rFonts w:cs="Times New Roman"/>
        </w:rPr>
        <w:br w:type="page"/>
      </w:r>
      <w:r w:rsidR="0095251C" w:rsidRPr="00AD5812">
        <w:rPr>
          <w:b/>
        </w:rPr>
        <w:lastRenderedPageBreak/>
        <w:t xml:space="preserve">Table </w:t>
      </w:r>
      <w:r w:rsidR="0095251C">
        <w:rPr>
          <w:b/>
        </w:rPr>
        <w:t>IV</w:t>
      </w:r>
      <w:r w:rsidR="0095251C">
        <w:t>.  Summary Statistical Analysis of Data from Smith et al (2011) on Metabolic Activation and Inactivation Rates Observed in Liver Microsome Preparations from Recently Deceased Humans of Different Ages</w:t>
      </w:r>
    </w:p>
    <w:tbl>
      <w:tblPr>
        <w:tblW w:w="9551" w:type="dxa"/>
        <w:tblInd w:w="93" w:type="dxa"/>
        <w:tblLayout w:type="fixed"/>
        <w:tblLook w:val="04A0"/>
      </w:tblPr>
      <w:tblGrid>
        <w:gridCol w:w="1275"/>
        <w:gridCol w:w="1902"/>
        <w:gridCol w:w="1980"/>
        <w:gridCol w:w="2160"/>
        <w:gridCol w:w="2234"/>
      </w:tblGrid>
      <w:tr w:rsidR="0095251C" w:rsidRPr="008E6952" w:rsidTr="00930BB9">
        <w:trPr>
          <w:trHeight w:val="960"/>
        </w:trPr>
        <w:tc>
          <w:tcPr>
            <w:tcW w:w="1275" w:type="dxa"/>
            <w:tcBorders>
              <w:bottom w:val="single" w:sz="6" w:space="0" w:color="auto"/>
            </w:tcBorders>
            <w:shd w:val="clear" w:color="auto" w:fill="auto"/>
            <w:vAlign w:val="bottom"/>
            <w:hideMark/>
          </w:tcPr>
          <w:p w:rsidR="0095251C" w:rsidRPr="008E6952" w:rsidRDefault="0095251C" w:rsidP="00930BB9">
            <w:pPr>
              <w:jc w:val="center"/>
              <w:rPr>
                <w:rFonts w:ascii="Times" w:eastAsia="Times New Roman" w:hAnsi="Times" w:cs="Times New Roman"/>
                <w:sz w:val="20"/>
                <w:szCs w:val="20"/>
                <w:lang w:eastAsia="en-US"/>
              </w:rPr>
            </w:pPr>
            <w:r w:rsidRPr="008E6952">
              <w:rPr>
                <w:rFonts w:ascii="Times" w:eastAsia="Times New Roman" w:hAnsi="Times" w:cs="Times New Roman"/>
                <w:sz w:val="20"/>
                <w:szCs w:val="20"/>
                <w:lang w:eastAsia="en-US"/>
              </w:rPr>
              <w:t>Subject</w:t>
            </w:r>
          </w:p>
        </w:tc>
        <w:tc>
          <w:tcPr>
            <w:tcW w:w="1902" w:type="dxa"/>
            <w:tcBorders>
              <w:bottom w:val="single" w:sz="6" w:space="0" w:color="auto"/>
            </w:tcBorders>
            <w:shd w:val="clear" w:color="auto" w:fill="auto"/>
            <w:vAlign w:val="bottom"/>
            <w:hideMark/>
          </w:tcPr>
          <w:p w:rsidR="0095251C" w:rsidRPr="008E6952" w:rsidRDefault="0095251C" w:rsidP="00930BB9">
            <w:pPr>
              <w:jc w:val="center"/>
              <w:rPr>
                <w:rFonts w:ascii="Times" w:eastAsia="Times New Roman" w:hAnsi="Times" w:cs="Times New Roman"/>
                <w:sz w:val="20"/>
                <w:szCs w:val="20"/>
                <w:lang w:eastAsia="en-US"/>
              </w:rPr>
            </w:pPr>
            <w:r w:rsidRPr="008E6952">
              <w:rPr>
                <w:rFonts w:ascii="Times" w:eastAsia="Times New Roman" w:hAnsi="Times" w:cs="Times New Roman"/>
                <w:sz w:val="20"/>
                <w:szCs w:val="20"/>
                <w:lang w:eastAsia="en-US"/>
              </w:rPr>
              <w:t>Dearylation Ci µl/(min-mg microsomal protein)</w:t>
            </w:r>
          </w:p>
        </w:tc>
        <w:tc>
          <w:tcPr>
            <w:tcW w:w="1980" w:type="dxa"/>
            <w:tcBorders>
              <w:bottom w:val="single" w:sz="6" w:space="0" w:color="auto"/>
            </w:tcBorders>
            <w:shd w:val="clear" w:color="auto" w:fill="auto"/>
            <w:vAlign w:val="bottom"/>
            <w:hideMark/>
          </w:tcPr>
          <w:p w:rsidR="0095251C" w:rsidRPr="008E6952" w:rsidRDefault="0095251C" w:rsidP="00930BB9">
            <w:pPr>
              <w:jc w:val="center"/>
              <w:rPr>
                <w:rFonts w:ascii="Times" w:eastAsia="Times New Roman" w:hAnsi="Times" w:cs="Times New Roman"/>
                <w:sz w:val="20"/>
                <w:szCs w:val="20"/>
                <w:lang w:eastAsia="en-US"/>
              </w:rPr>
            </w:pPr>
            <w:r w:rsidRPr="008E6952">
              <w:rPr>
                <w:rFonts w:ascii="Times" w:eastAsia="Times New Roman" w:hAnsi="Times" w:cs="Times New Roman"/>
                <w:sz w:val="20"/>
                <w:szCs w:val="20"/>
                <w:lang w:eastAsia="en-US"/>
              </w:rPr>
              <w:t>Desulfuration Ci µl/(min-mg microsomal protein)</w:t>
            </w:r>
          </w:p>
        </w:tc>
        <w:tc>
          <w:tcPr>
            <w:tcW w:w="2160" w:type="dxa"/>
            <w:tcBorders>
              <w:bottom w:val="single" w:sz="6" w:space="0" w:color="auto"/>
            </w:tcBorders>
            <w:shd w:val="clear" w:color="auto" w:fill="auto"/>
            <w:vAlign w:val="bottom"/>
            <w:hideMark/>
          </w:tcPr>
          <w:p w:rsidR="0095251C" w:rsidRPr="008E6952" w:rsidRDefault="0095251C" w:rsidP="00930BB9">
            <w:pPr>
              <w:jc w:val="center"/>
              <w:rPr>
                <w:rFonts w:ascii="Times" w:eastAsia="Times New Roman" w:hAnsi="Times" w:cs="Times New Roman"/>
                <w:sz w:val="20"/>
                <w:szCs w:val="20"/>
                <w:lang w:eastAsia="en-US"/>
              </w:rPr>
            </w:pPr>
            <w:r w:rsidRPr="008E6952">
              <w:rPr>
                <w:rFonts w:ascii="Times" w:eastAsia="Times New Roman" w:hAnsi="Times" w:cs="Times New Roman"/>
                <w:sz w:val="20"/>
                <w:szCs w:val="20"/>
                <w:lang w:eastAsia="en-US"/>
              </w:rPr>
              <w:t>Fraction activated (desulf/(dear+desulf)</w:t>
            </w:r>
          </w:p>
        </w:tc>
        <w:tc>
          <w:tcPr>
            <w:tcW w:w="2234" w:type="dxa"/>
            <w:tcBorders>
              <w:bottom w:val="single" w:sz="6" w:space="0" w:color="auto"/>
            </w:tcBorders>
            <w:shd w:val="clear" w:color="auto" w:fill="auto"/>
            <w:vAlign w:val="bottom"/>
            <w:hideMark/>
          </w:tcPr>
          <w:p w:rsidR="0095251C" w:rsidRPr="008E6952" w:rsidRDefault="0095251C" w:rsidP="00930BB9">
            <w:pPr>
              <w:jc w:val="center"/>
              <w:rPr>
                <w:rFonts w:ascii="Times" w:eastAsia="Times New Roman" w:hAnsi="Times" w:cs="Times New Roman"/>
                <w:sz w:val="20"/>
                <w:szCs w:val="20"/>
                <w:lang w:eastAsia="en-US"/>
              </w:rPr>
            </w:pPr>
            <w:r w:rsidRPr="008E6952">
              <w:rPr>
                <w:rFonts w:ascii="Times" w:eastAsia="Times New Roman" w:hAnsi="Times" w:cs="Times New Roman"/>
                <w:sz w:val="20"/>
                <w:szCs w:val="20"/>
                <w:lang w:eastAsia="en-US"/>
              </w:rPr>
              <w:t>Total Intrinsic Clearance  µl/(min-mg microsomal protein)</w:t>
            </w:r>
          </w:p>
        </w:tc>
      </w:tr>
      <w:tr w:rsidR="0095251C" w:rsidRPr="008E6952" w:rsidTr="00930BB9">
        <w:trPr>
          <w:trHeight w:val="240"/>
        </w:trPr>
        <w:tc>
          <w:tcPr>
            <w:tcW w:w="3177" w:type="dxa"/>
            <w:gridSpan w:val="2"/>
            <w:tcBorders>
              <w:top w:val="single" w:sz="6" w:space="0" w:color="auto"/>
            </w:tcBorders>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Age 0-5 Females</w:t>
            </w:r>
          </w:p>
        </w:tc>
        <w:tc>
          <w:tcPr>
            <w:tcW w:w="1980" w:type="dxa"/>
            <w:tcBorders>
              <w:top w:val="single" w:sz="6" w:space="0" w:color="auto"/>
            </w:tcBorders>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c>
          <w:tcPr>
            <w:tcW w:w="2160" w:type="dxa"/>
            <w:tcBorders>
              <w:top w:val="single" w:sz="6" w:space="0" w:color="auto"/>
            </w:tcBorders>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c>
          <w:tcPr>
            <w:tcW w:w="2234" w:type="dxa"/>
            <w:tcBorders>
              <w:top w:val="single" w:sz="6" w:space="0" w:color="auto"/>
            </w:tcBorders>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r>
      <w:tr w:rsidR="0095251C" w:rsidRPr="008E6952" w:rsidTr="00930BB9">
        <w:trPr>
          <w:trHeight w:val="240"/>
        </w:trPr>
        <w:tc>
          <w:tcPr>
            <w:tcW w:w="1275"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354</w:t>
            </w:r>
          </w:p>
        </w:tc>
        <w:tc>
          <w:tcPr>
            <w:tcW w:w="1902"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2.1</w:t>
            </w:r>
          </w:p>
        </w:tc>
        <w:tc>
          <w:tcPr>
            <w:tcW w:w="1980"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1.98</w:t>
            </w:r>
          </w:p>
        </w:tc>
        <w:tc>
          <w:tcPr>
            <w:tcW w:w="2160"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0.485</w:t>
            </w:r>
          </w:p>
        </w:tc>
        <w:tc>
          <w:tcPr>
            <w:tcW w:w="2234"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4.08</w:t>
            </w:r>
          </w:p>
        </w:tc>
      </w:tr>
      <w:tr w:rsidR="0095251C" w:rsidRPr="008E6952" w:rsidTr="00930BB9">
        <w:trPr>
          <w:trHeight w:val="240"/>
        </w:trPr>
        <w:tc>
          <w:tcPr>
            <w:tcW w:w="1275"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57</w:t>
            </w:r>
          </w:p>
        </w:tc>
        <w:tc>
          <w:tcPr>
            <w:tcW w:w="1902"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25.02</w:t>
            </w:r>
          </w:p>
        </w:tc>
        <w:tc>
          <w:tcPr>
            <w:tcW w:w="1980"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25.8</w:t>
            </w:r>
          </w:p>
        </w:tc>
        <w:tc>
          <w:tcPr>
            <w:tcW w:w="2160"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0.508</w:t>
            </w:r>
          </w:p>
        </w:tc>
        <w:tc>
          <w:tcPr>
            <w:tcW w:w="2234"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50.82</w:t>
            </w:r>
          </w:p>
        </w:tc>
      </w:tr>
      <w:tr w:rsidR="0095251C" w:rsidRPr="008E6952" w:rsidTr="00930BB9">
        <w:trPr>
          <w:trHeight w:val="240"/>
        </w:trPr>
        <w:tc>
          <w:tcPr>
            <w:tcW w:w="1275"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776</w:t>
            </w:r>
          </w:p>
        </w:tc>
        <w:tc>
          <w:tcPr>
            <w:tcW w:w="1902"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19.63</w:t>
            </w:r>
          </w:p>
        </w:tc>
        <w:tc>
          <w:tcPr>
            <w:tcW w:w="1980"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6.03</w:t>
            </w:r>
          </w:p>
        </w:tc>
        <w:tc>
          <w:tcPr>
            <w:tcW w:w="2160"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0.235</w:t>
            </w:r>
          </w:p>
        </w:tc>
        <w:tc>
          <w:tcPr>
            <w:tcW w:w="2234"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25.66</w:t>
            </w:r>
          </w:p>
        </w:tc>
      </w:tr>
      <w:tr w:rsidR="0095251C" w:rsidRPr="008E6952" w:rsidTr="00930BB9">
        <w:trPr>
          <w:trHeight w:val="240"/>
        </w:trPr>
        <w:tc>
          <w:tcPr>
            <w:tcW w:w="1275"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689</w:t>
            </w:r>
          </w:p>
        </w:tc>
        <w:tc>
          <w:tcPr>
            <w:tcW w:w="1902"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6.2</w:t>
            </w:r>
          </w:p>
        </w:tc>
        <w:tc>
          <w:tcPr>
            <w:tcW w:w="1980"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3.79</w:t>
            </w:r>
          </w:p>
        </w:tc>
        <w:tc>
          <w:tcPr>
            <w:tcW w:w="2160"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0.379</w:t>
            </w:r>
          </w:p>
        </w:tc>
        <w:tc>
          <w:tcPr>
            <w:tcW w:w="2234" w:type="dxa"/>
            <w:shd w:val="clear" w:color="auto" w:fill="auto"/>
            <w:noWrap/>
            <w:vAlign w:val="bottom"/>
            <w:hideMark/>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9.99</w:t>
            </w:r>
          </w:p>
        </w:tc>
      </w:tr>
      <w:tr w:rsidR="0095251C" w:rsidRPr="008E6952" w:rsidTr="00930BB9">
        <w:trPr>
          <w:trHeight w:val="240"/>
        </w:trPr>
        <w:tc>
          <w:tcPr>
            <w:tcW w:w="1275"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Gmean</w:t>
            </w:r>
          </w:p>
        </w:tc>
        <w:tc>
          <w:tcPr>
            <w:tcW w:w="1902" w:type="dxa"/>
            <w:shd w:val="clear" w:color="auto" w:fill="auto"/>
            <w:noWrap/>
            <w:vAlign w:val="bottom"/>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8.94</w:t>
            </w:r>
          </w:p>
        </w:tc>
        <w:tc>
          <w:tcPr>
            <w:tcW w:w="1980" w:type="dxa"/>
            <w:shd w:val="clear" w:color="auto" w:fill="auto"/>
            <w:noWrap/>
            <w:vAlign w:val="bottom"/>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5.85</w:t>
            </w:r>
          </w:p>
        </w:tc>
        <w:tc>
          <w:tcPr>
            <w:tcW w:w="2160" w:type="dxa"/>
            <w:shd w:val="clear" w:color="auto" w:fill="auto"/>
            <w:noWrap/>
            <w:vAlign w:val="bottom"/>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0.385</w:t>
            </w:r>
          </w:p>
        </w:tc>
        <w:tc>
          <w:tcPr>
            <w:tcW w:w="2234" w:type="dxa"/>
            <w:shd w:val="clear" w:color="auto" w:fill="auto"/>
            <w:noWrap/>
            <w:vAlign w:val="bottom"/>
          </w:tcPr>
          <w:p w:rsidR="0095251C" w:rsidRPr="00DA2BC0" w:rsidRDefault="0095251C" w:rsidP="00930BB9">
            <w:pPr>
              <w:jc w:val="center"/>
              <w:rPr>
                <w:rFonts w:ascii="Times New Roman" w:eastAsia="Times New Roman" w:hAnsi="Times New Roman" w:cs="Times New Roman"/>
                <w:sz w:val="18"/>
                <w:szCs w:val="18"/>
                <w:lang w:eastAsia="en-US"/>
              </w:rPr>
            </w:pPr>
            <w:r w:rsidRPr="00DA2BC0">
              <w:rPr>
                <w:rFonts w:ascii="Times New Roman" w:eastAsia="Times New Roman" w:hAnsi="Times New Roman" w:cs="Times New Roman"/>
                <w:sz w:val="18"/>
                <w:szCs w:val="18"/>
              </w:rPr>
              <w:t>15.18</w:t>
            </w:r>
          </w:p>
        </w:tc>
      </w:tr>
      <w:tr w:rsidR="0095251C" w:rsidRPr="008E6952" w:rsidTr="00930BB9">
        <w:trPr>
          <w:trHeight w:val="240"/>
        </w:trPr>
        <w:tc>
          <w:tcPr>
            <w:tcW w:w="3177" w:type="dxa"/>
            <w:gridSpan w:val="2"/>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Age 25-48 Females</w:t>
            </w:r>
          </w:p>
        </w:tc>
        <w:tc>
          <w:tcPr>
            <w:tcW w:w="1980"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c>
          <w:tcPr>
            <w:tcW w:w="2160"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c>
          <w:tcPr>
            <w:tcW w:w="2234"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r>
      <w:tr w:rsidR="0095251C" w:rsidRPr="008E6952" w:rsidTr="00930BB9">
        <w:trPr>
          <w:trHeight w:val="240"/>
        </w:trPr>
        <w:tc>
          <w:tcPr>
            <w:tcW w:w="1275"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459</w:t>
            </w:r>
          </w:p>
        </w:tc>
        <w:tc>
          <w:tcPr>
            <w:tcW w:w="1902"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6.61</w:t>
            </w:r>
          </w:p>
        </w:tc>
        <w:tc>
          <w:tcPr>
            <w:tcW w:w="1980"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1.5</w:t>
            </w:r>
          </w:p>
        </w:tc>
        <w:tc>
          <w:tcPr>
            <w:tcW w:w="2160"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0.185</w:t>
            </w:r>
          </w:p>
        </w:tc>
        <w:tc>
          <w:tcPr>
            <w:tcW w:w="2234"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8.11</w:t>
            </w:r>
          </w:p>
        </w:tc>
      </w:tr>
      <w:tr w:rsidR="0095251C" w:rsidRPr="008E6952" w:rsidTr="00930BB9">
        <w:trPr>
          <w:trHeight w:val="240"/>
        </w:trPr>
        <w:tc>
          <w:tcPr>
            <w:tcW w:w="1275"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25</w:t>
            </w:r>
          </w:p>
        </w:tc>
        <w:tc>
          <w:tcPr>
            <w:tcW w:w="1902"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7</w:t>
            </w:r>
          </w:p>
        </w:tc>
        <w:tc>
          <w:tcPr>
            <w:tcW w:w="1980"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4.15</w:t>
            </w:r>
          </w:p>
        </w:tc>
        <w:tc>
          <w:tcPr>
            <w:tcW w:w="2160"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0.372</w:t>
            </w:r>
          </w:p>
        </w:tc>
        <w:tc>
          <w:tcPr>
            <w:tcW w:w="2234"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11.15</w:t>
            </w:r>
          </w:p>
        </w:tc>
      </w:tr>
      <w:tr w:rsidR="0095251C" w:rsidRPr="008E6952" w:rsidTr="00930BB9">
        <w:trPr>
          <w:trHeight w:val="240"/>
        </w:trPr>
        <w:tc>
          <w:tcPr>
            <w:tcW w:w="1275"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434</w:t>
            </w:r>
          </w:p>
        </w:tc>
        <w:tc>
          <w:tcPr>
            <w:tcW w:w="1902"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2.92</w:t>
            </w:r>
          </w:p>
        </w:tc>
        <w:tc>
          <w:tcPr>
            <w:tcW w:w="1980"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0.68</w:t>
            </w:r>
          </w:p>
        </w:tc>
        <w:tc>
          <w:tcPr>
            <w:tcW w:w="2160"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0.189</w:t>
            </w:r>
          </w:p>
        </w:tc>
        <w:tc>
          <w:tcPr>
            <w:tcW w:w="2234"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3.60</w:t>
            </w:r>
          </w:p>
        </w:tc>
      </w:tr>
      <w:tr w:rsidR="0095251C" w:rsidRPr="008E6952" w:rsidTr="00930BB9">
        <w:trPr>
          <w:trHeight w:val="240"/>
        </w:trPr>
        <w:tc>
          <w:tcPr>
            <w:tcW w:w="1275"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251</w:t>
            </w:r>
          </w:p>
        </w:tc>
        <w:tc>
          <w:tcPr>
            <w:tcW w:w="1902"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18.25</w:t>
            </w:r>
          </w:p>
        </w:tc>
        <w:tc>
          <w:tcPr>
            <w:tcW w:w="1980"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3.48</w:t>
            </w:r>
          </w:p>
        </w:tc>
        <w:tc>
          <w:tcPr>
            <w:tcW w:w="2160"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0.160</w:t>
            </w:r>
          </w:p>
        </w:tc>
        <w:tc>
          <w:tcPr>
            <w:tcW w:w="2234"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21.73</w:t>
            </w:r>
          </w:p>
        </w:tc>
      </w:tr>
      <w:tr w:rsidR="0095251C" w:rsidRPr="008E6952" w:rsidTr="00930BB9">
        <w:trPr>
          <w:trHeight w:val="240"/>
        </w:trPr>
        <w:tc>
          <w:tcPr>
            <w:tcW w:w="1275"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115</w:t>
            </w:r>
          </w:p>
        </w:tc>
        <w:tc>
          <w:tcPr>
            <w:tcW w:w="1902"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4.56</w:t>
            </w:r>
          </w:p>
        </w:tc>
        <w:tc>
          <w:tcPr>
            <w:tcW w:w="1980"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1.51</w:t>
            </w:r>
          </w:p>
        </w:tc>
        <w:tc>
          <w:tcPr>
            <w:tcW w:w="2160"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0.249</w:t>
            </w:r>
          </w:p>
        </w:tc>
        <w:tc>
          <w:tcPr>
            <w:tcW w:w="2234" w:type="dxa"/>
            <w:shd w:val="clear" w:color="auto" w:fill="auto"/>
            <w:noWrap/>
            <w:vAlign w:val="bottom"/>
            <w:hideMark/>
          </w:tcPr>
          <w:p w:rsidR="0095251C" w:rsidRPr="00CC2448" w:rsidRDefault="0095251C" w:rsidP="00930BB9">
            <w:pPr>
              <w:jc w:val="center"/>
              <w:rPr>
                <w:rFonts w:ascii="Times New Roman" w:eastAsia="Times New Roman" w:hAnsi="Times New Roman" w:cs="Times New Roman"/>
                <w:sz w:val="18"/>
                <w:szCs w:val="18"/>
                <w:lang w:eastAsia="en-US"/>
              </w:rPr>
            </w:pPr>
            <w:r w:rsidRPr="00CC2448">
              <w:rPr>
                <w:rFonts w:ascii="Times New Roman" w:eastAsia="Times New Roman" w:hAnsi="Times New Roman" w:cs="Times New Roman"/>
                <w:sz w:val="18"/>
                <w:szCs w:val="18"/>
              </w:rPr>
              <w:t>6.07</w:t>
            </w:r>
          </w:p>
        </w:tc>
      </w:tr>
      <w:tr w:rsidR="0095251C" w:rsidRPr="008E6952" w:rsidTr="00930BB9">
        <w:trPr>
          <w:trHeight w:val="240"/>
        </w:trPr>
        <w:tc>
          <w:tcPr>
            <w:tcW w:w="1275"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Gmean</w:t>
            </w:r>
          </w:p>
        </w:tc>
        <w:tc>
          <w:tcPr>
            <w:tcW w:w="1902" w:type="dxa"/>
            <w:shd w:val="clear" w:color="auto" w:fill="auto"/>
            <w:noWrap/>
            <w:vAlign w:val="bottom"/>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6.46</w:t>
            </w:r>
          </w:p>
        </w:tc>
        <w:tc>
          <w:tcPr>
            <w:tcW w:w="1980" w:type="dxa"/>
            <w:shd w:val="clear" w:color="auto" w:fill="auto"/>
            <w:noWrap/>
            <w:vAlign w:val="bottom"/>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1.86</w:t>
            </w:r>
          </w:p>
        </w:tc>
        <w:tc>
          <w:tcPr>
            <w:tcW w:w="2160" w:type="dxa"/>
            <w:shd w:val="clear" w:color="auto" w:fill="auto"/>
            <w:noWrap/>
            <w:vAlign w:val="bottom"/>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0.220</w:t>
            </w:r>
          </w:p>
        </w:tc>
        <w:tc>
          <w:tcPr>
            <w:tcW w:w="2234" w:type="dxa"/>
            <w:shd w:val="clear" w:color="auto" w:fill="auto"/>
            <w:noWrap/>
            <w:vAlign w:val="bottom"/>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8.44</w:t>
            </w:r>
          </w:p>
        </w:tc>
      </w:tr>
      <w:tr w:rsidR="0095251C" w:rsidRPr="008E6952" w:rsidTr="00930BB9">
        <w:trPr>
          <w:trHeight w:val="240"/>
        </w:trPr>
        <w:tc>
          <w:tcPr>
            <w:tcW w:w="3177" w:type="dxa"/>
            <w:gridSpan w:val="2"/>
            <w:shd w:val="clear" w:color="auto" w:fill="auto"/>
            <w:noWrap/>
            <w:vAlign w:val="bottom"/>
          </w:tcPr>
          <w:p w:rsidR="0095251C" w:rsidRDefault="0095251C" w:rsidP="00930BB9">
            <w:pPr>
              <w:jc w:val="center"/>
              <w:rPr>
                <w:rFonts w:ascii="Times" w:eastAsia="Times New Roman" w:hAnsi="Times" w:cs="Times New Roman"/>
                <w:sz w:val="18"/>
                <w:szCs w:val="18"/>
                <w:lang w:eastAsia="en-US"/>
              </w:rPr>
            </w:pPr>
          </w:p>
        </w:tc>
        <w:tc>
          <w:tcPr>
            <w:tcW w:w="1980"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c>
          <w:tcPr>
            <w:tcW w:w="2160"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Approx lognormal 5%-95% confidence range for Gmean</w:t>
            </w:r>
          </w:p>
        </w:tc>
        <w:tc>
          <w:tcPr>
            <w:tcW w:w="2234"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5.15-13.85</w:t>
            </w:r>
          </w:p>
        </w:tc>
      </w:tr>
      <w:tr w:rsidR="0095251C" w:rsidRPr="008E6952" w:rsidTr="00930BB9">
        <w:trPr>
          <w:trHeight w:val="240"/>
        </w:trPr>
        <w:tc>
          <w:tcPr>
            <w:tcW w:w="3177" w:type="dxa"/>
            <w:gridSpan w:val="2"/>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Age 0-10 Males</w:t>
            </w:r>
          </w:p>
        </w:tc>
        <w:tc>
          <w:tcPr>
            <w:tcW w:w="1980"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c>
          <w:tcPr>
            <w:tcW w:w="2160"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c>
          <w:tcPr>
            <w:tcW w:w="2234"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845</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9.91</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5.88</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0.372</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15.79</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282</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13.39</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3.54</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0.209</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16.93</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671</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7.35</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3.06</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0.294</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10.41</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268</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17.15</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3.89</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0.185</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21.04</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270</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5.05</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2.54</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0.335</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7.59</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395</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21.25</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3.99</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0.158</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25.24</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825</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30.37</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16.28</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0.349</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46.65</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322</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39.03</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3.3</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0.078</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42.33</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346</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43.41</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25.75</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0.372</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69.16</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551</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23.55</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5.07</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0.177</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28.62</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852</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43.67</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9.91</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0.185</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53.58</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792</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38.63</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5.29</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0.120</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43.92</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675</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1.42</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1.6</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0.530</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3.02</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215</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9.44</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5.6</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0.372</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15.04</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59</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5.02</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0.87</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0.148</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5.89</w:t>
            </w:r>
          </w:p>
        </w:tc>
      </w:tr>
      <w:tr w:rsidR="0095251C" w:rsidRPr="008E6952" w:rsidTr="00930BB9">
        <w:trPr>
          <w:trHeight w:val="240"/>
        </w:trPr>
        <w:tc>
          <w:tcPr>
            <w:tcW w:w="1275"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485</w:t>
            </w:r>
          </w:p>
        </w:tc>
        <w:tc>
          <w:tcPr>
            <w:tcW w:w="1902"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2.28</w:t>
            </w:r>
          </w:p>
        </w:tc>
        <w:tc>
          <w:tcPr>
            <w:tcW w:w="198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0.1</w:t>
            </w:r>
          </w:p>
        </w:tc>
        <w:tc>
          <w:tcPr>
            <w:tcW w:w="2160"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0.042</w:t>
            </w:r>
          </w:p>
        </w:tc>
        <w:tc>
          <w:tcPr>
            <w:tcW w:w="2234" w:type="dxa"/>
            <w:shd w:val="clear" w:color="auto" w:fill="auto"/>
            <w:noWrap/>
            <w:vAlign w:val="bottom"/>
            <w:hideMark/>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2.38</w:t>
            </w:r>
          </w:p>
        </w:tc>
      </w:tr>
      <w:tr w:rsidR="0095251C" w:rsidRPr="008E6952" w:rsidTr="00930BB9">
        <w:trPr>
          <w:trHeight w:val="240"/>
        </w:trPr>
        <w:tc>
          <w:tcPr>
            <w:tcW w:w="1275"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Gmean</w:t>
            </w:r>
          </w:p>
        </w:tc>
        <w:tc>
          <w:tcPr>
            <w:tcW w:w="1902" w:type="dxa"/>
            <w:shd w:val="clear" w:color="auto" w:fill="auto"/>
            <w:noWrap/>
            <w:vAlign w:val="bottom"/>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12.86</w:t>
            </w:r>
          </w:p>
        </w:tc>
        <w:tc>
          <w:tcPr>
            <w:tcW w:w="1980" w:type="dxa"/>
            <w:shd w:val="clear" w:color="auto" w:fill="auto"/>
            <w:noWrap/>
            <w:vAlign w:val="bottom"/>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3.58</w:t>
            </w:r>
          </w:p>
        </w:tc>
        <w:tc>
          <w:tcPr>
            <w:tcW w:w="2160" w:type="dxa"/>
            <w:shd w:val="clear" w:color="auto" w:fill="auto"/>
            <w:noWrap/>
            <w:vAlign w:val="bottom"/>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0.207</w:t>
            </w:r>
          </w:p>
        </w:tc>
        <w:tc>
          <w:tcPr>
            <w:tcW w:w="2234" w:type="dxa"/>
            <w:shd w:val="clear" w:color="auto" w:fill="auto"/>
            <w:noWrap/>
            <w:vAlign w:val="bottom"/>
          </w:tcPr>
          <w:p w:rsidR="0095251C" w:rsidRPr="0080562F" w:rsidRDefault="0095251C" w:rsidP="00930BB9">
            <w:pPr>
              <w:jc w:val="center"/>
              <w:rPr>
                <w:rFonts w:ascii="Times New Roman" w:eastAsia="Times New Roman" w:hAnsi="Times New Roman" w:cs="Times New Roman"/>
                <w:sz w:val="18"/>
                <w:szCs w:val="18"/>
                <w:lang w:eastAsia="en-US"/>
              </w:rPr>
            </w:pPr>
            <w:r w:rsidRPr="0080562F">
              <w:rPr>
                <w:rFonts w:ascii="Times New Roman" w:eastAsia="Times New Roman" w:hAnsi="Times New Roman" w:cs="Times New Roman"/>
                <w:sz w:val="18"/>
                <w:szCs w:val="18"/>
              </w:rPr>
              <w:t>17.32</w:t>
            </w:r>
          </w:p>
        </w:tc>
      </w:tr>
      <w:tr w:rsidR="0095251C" w:rsidRPr="008E6952" w:rsidTr="00930BB9">
        <w:trPr>
          <w:trHeight w:val="240"/>
        </w:trPr>
        <w:tc>
          <w:tcPr>
            <w:tcW w:w="3177" w:type="dxa"/>
            <w:gridSpan w:val="2"/>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r>
              <w:rPr>
                <w:rFonts w:ascii="Times" w:eastAsia="Times New Roman" w:hAnsi="Times" w:cs="Times New Roman"/>
                <w:sz w:val="18"/>
                <w:szCs w:val="18"/>
                <w:lang w:eastAsia="en-US"/>
              </w:rPr>
              <w:t>Age 17-75 Males</w:t>
            </w:r>
          </w:p>
        </w:tc>
        <w:tc>
          <w:tcPr>
            <w:tcW w:w="1980"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c>
          <w:tcPr>
            <w:tcW w:w="2160"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c>
          <w:tcPr>
            <w:tcW w:w="2234"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r>
      <w:tr w:rsidR="0095251C" w:rsidRPr="008E6952" w:rsidTr="00930BB9">
        <w:trPr>
          <w:trHeight w:val="240"/>
        </w:trPr>
        <w:tc>
          <w:tcPr>
            <w:tcW w:w="1275"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133</w:t>
            </w:r>
          </w:p>
        </w:tc>
        <w:tc>
          <w:tcPr>
            <w:tcW w:w="1902"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21.99</w:t>
            </w:r>
          </w:p>
        </w:tc>
        <w:tc>
          <w:tcPr>
            <w:tcW w:w="1980"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12.16</w:t>
            </w:r>
          </w:p>
        </w:tc>
        <w:tc>
          <w:tcPr>
            <w:tcW w:w="2160"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0.356</w:t>
            </w:r>
          </w:p>
        </w:tc>
        <w:tc>
          <w:tcPr>
            <w:tcW w:w="2234"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34.15</w:t>
            </w:r>
          </w:p>
        </w:tc>
      </w:tr>
      <w:tr w:rsidR="0095251C" w:rsidRPr="008E6952" w:rsidTr="00930BB9">
        <w:trPr>
          <w:trHeight w:val="240"/>
        </w:trPr>
        <w:tc>
          <w:tcPr>
            <w:tcW w:w="1275"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743</w:t>
            </w:r>
          </w:p>
        </w:tc>
        <w:tc>
          <w:tcPr>
            <w:tcW w:w="1902"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12.33</w:t>
            </w:r>
          </w:p>
        </w:tc>
        <w:tc>
          <w:tcPr>
            <w:tcW w:w="1980"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1.95</w:t>
            </w:r>
          </w:p>
        </w:tc>
        <w:tc>
          <w:tcPr>
            <w:tcW w:w="2160"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0.137</w:t>
            </w:r>
          </w:p>
        </w:tc>
        <w:tc>
          <w:tcPr>
            <w:tcW w:w="2234"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14.28</w:t>
            </w:r>
          </w:p>
        </w:tc>
      </w:tr>
      <w:tr w:rsidR="0095251C" w:rsidRPr="008E6952" w:rsidTr="00930BB9">
        <w:trPr>
          <w:trHeight w:val="240"/>
        </w:trPr>
        <w:tc>
          <w:tcPr>
            <w:tcW w:w="1275"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752</w:t>
            </w:r>
          </w:p>
        </w:tc>
        <w:tc>
          <w:tcPr>
            <w:tcW w:w="1902"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4.22</w:t>
            </w:r>
          </w:p>
        </w:tc>
        <w:tc>
          <w:tcPr>
            <w:tcW w:w="1980"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2.68</w:t>
            </w:r>
          </w:p>
        </w:tc>
        <w:tc>
          <w:tcPr>
            <w:tcW w:w="2160"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0.388</w:t>
            </w:r>
          </w:p>
        </w:tc>
        <w:tc>
          <w:tcPr>
            <w:tcW w:w="2234"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6.90</w:t>
            </w:r>
          </w:p>
        </w:tc>
      </w:tr>
      <w:tr w:rsidR="0095251C" w:rsidRPr="008E6952" w:rsidTr="00930BB9">
        <w:trPr>
          <w:trHeight w:val="240"/>
        </w:trPr>
        <w:tc>
          <w:tcPr>
            <w:tcW w:w="1275"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201</w:t>
            </w:r>
          </w:p>
        </w:tc>
        <w:tc>
          <w:tcPr>
            <w:tcW w:w="1902"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22.48</w:t>
            </w:r>
          </w:p>
        </w:tc>
        <w:tc>
          <w:tcPr>
            <w:tcW w:w="1980"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6.42</w:t>
            </w:r>
          </w:p>
        </w:tc>
        <w:tc>
          <w:tcPr>
            <w:tcW w:w="2160"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0.222</w:t>
            </w:r>
          </w:p>
        </w:tc>
        <w:tc>
          <w:tcPr>
            <w:tcW w:w="2234"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28.90</w:t>
            </w:r>
          </w:p>
        </w:tc>
      </w:tr>
      <w:tr w:rsidR="0095251C" w:rsidRPr="008E6952" w:rsidTr="00930BB9">
        <w:trPr>
          <w:trHeight w:val="240"/>
        </w:trPr>
        <w:tc>
          <w:tcPr>
            <w:tcW w:w="1275"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203</w:t>
            </w:r>
          </w:p>
        </w:tc>
        <w:tc>
          <w:tcPr>
            <w:tcW w:w="1902"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10.63</w:t>
            </w:r>
          </w:p>
        </w:tc>
        <w:tc>
          <w:tcPr>
            <w:tcW w:w="1980"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4.1</w:t>
            </w:r>
          </w:p>
        </w:tc>
        <w:tc>
          <w:tcPr>
            <w:tcW w:w="2160"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0.278</w:t>
            </w:r>
          </w:p>
        </w:tc>
        <w:tc>
          <w:tcPr>
            <w:tcW w:w="2234" w:type="dxa"/>
            <w:shd w:val="clear" w:color="auto" w:fill="auto"/>
            <w:noWrap/>
            <w:vAlign w:val="bottom"/>
            <w:hideMark/>
          </w:tcPr>
          <w:p w:rsidR="0095251C" w:rsidRPr="00FC2B89" w:rsidRDefault="0095251C" w:rsidP="00930BB9">
            <w:pPr>
              <w:jc w:val="center"/>
              <w:rPr>
                <w:rFonts w:ascii="Times New Roman" w:eastAsia="Times New Roman" w:hAnsi="Times New Roman" w:cs="Times New Roman"/>
                <w:sz w:val="18"/>
                <w:szCs w:val="18"/>
                <w:lang w:eastAsia="en-US"/>
              </w:rPr>
            </w:pPr>
            <w:r w:rsidRPr="00FC2B89">
              <w:rPr>
                <w:rFonts w:ascii="Times New Roman" w:eastAsia="Times New Roman" w:hAnsi="Times New Roman" w:cs="Times New Roman"/>
                <w:sz w:val="18"/>
                <w:szCs w:val="18"/>
              </w:rPr>
              <w:t>14.73</w:t>
            </w:r>
          </w:p>
        </w:tc>
      </w:tr>
      <w:tr w:rsidR="0095251C" w:rsidRPr="008E6952" w:rsidTr="00930BB9">
        <w:trPr>
          <w:trHeight w:val="240"/>
        </w:trPr>
        <w:tc>
          <w:tcPr>
            <w:tcW w:w="1275" w:type="dxa"/>
            <w:shd w:val="clear" w:color="auto" w:fill="auto"/>
            <w:noWrap/>
            <w:vAlign w:val="bottom"/>
            <w:hideMark/>
          </w:tcPr>
          <w:p w:rsidR="0095251C" w:rsidRPr="00DA396C" w:rsidRDefault="0095251C" w:rsidP="00930BB9">
            <w:pPr>
              <w:jc w:val="center"/>
              <w:rPr>
                <w:rFonts w:ascii="Times" w:eastAsia="Times New Roman" w:hAnsi="Times" w:cs="Times New Roman"/>
                <w:sz w:val="18"/>
                <w:szCs w:val="18"/>
                <w:lang w:eastAsia="en-US"/>
              </w:rPr>
            </w:pPr>
            <w:r w:rsidRPr="00DA396C">
              <w:rPr>
                <w:rFonts w:ascii="Times" w:eastAsia="Times New Roman" w:hAnsi="Times" w:cs="Times New Roman"/>
                <w:sz w:val="18"/>
                <w:szCs w:val="18"/>
                <w:lang w:eastAsia="en-US"/>
              </w:rPr>
              <w:t>Gmean</w:t>
            </w:r>
          </w:p>
        </w:tc>
        <w:tc>
          <w:tcPr>
            <w:tcW w:w="1902" w:type="dxa"/>
            <w:shd w:val="clear" w:color="auto" w:fill="auto"/>
            <w:noWrap/>
            <w:vAlign w:val="bottom"/>
            <w:hideMark/>
          </w:tcPr>
          <w:p w:rsidR="0095251C" w:rsidRPr="00CD52A9" w:rsidRDefault="0095251C" w:rsidP="00930BB9">
            <w:pPr>
              <w:jc w:val="center"/>
              <w:rPr>
                <w:rFonts w:ascii="Times New Roman" w:eastAsia="Times New Roman" w:hAnsi="Times New Roman" w:cs="Times New Roman"/>
                <w:sz w:val="18"/>
                <w:szCs w:val="18"/>
                <w:lang w:eastAsia="en-US"/>
              </w:rPr>
            </w:pPr>
            <w:r w:rsidRPr="00CD52A9">
              <w:rPr>
                <w:rFonts w:ascii="Times New Roman" w:eastAsia="Times New Roman" w:hAnsi="Times New Roman" w:cs="Times New Roman"/>
                <w:sz w:val="18"/>
                <w:szCs w:val="18"/>
              </w:rPr>
              <w:t>12.23</w:t>
            </w:r>
          </w:p>
        </w:tc>
        <w:tc>
          <w:tcPr>
            <w:tcW w:w="1980" w:type="dxa"/>
            <w:shd w:val="clear" w:color="auto" w:fill="auto"/>
            <w:noWrap/>
            <w:vAlign w:val="bottom"/>
            <w:hideMark/>
          </w:tcPr>
          <w:p w:rsidR="0095251C" w:rsidRPr="00CD52A9" w:rsidRDefault="0095251C" w:rsidP="00930BB9">
            <w:pPr>
              <w:jc w:val="center"/>
              <w:rPr>
                <w:rFonts w:ascii="Times New Roman" w:eastAsia="Times New Roman" w:hAnsi="Times New Roman" w:cs="Times New Roman"/>
                <w:sz w:val="18"/>
                <w:szCs w:val="18"/>
                <w:lang w:eastAsia="en-US"/>
              </w:rPr>
            </w:pPr>
            <w:r w:rsidRPr="00CD52A9">
              <w:rPr>
                <w:rFonts w:ascii="Times New Roman" w:eastAsia="Times New Roman" w:hAnsi="Times New Roman" w:cs="Times New Roman"/>
                <w:sz w:val="18"/>
                <w:szCs w:val="18"/>
              </w:rPr>
              <w:t>4.41</w:t>
            </w:r>
          </w:p>
        </w:tc>
        <w:tc>
          <w:tcPr>
            <w:tcW w:w="2160" w:type="dxa"/>
            <w:shd w:val="clear" w:color="auto" w:fill="auto"/>
            <w:noWrap/>
            <w:vAlign w:val="bottom"/>
            <w:hideMark/>
          </w:tcPr>
          <w:p w:rsidR="0095251C" w:rsidRPr="00CD52A9" w:rsidRDefault="0095251C" w:rsidP="00930BB9">
            <w:pPr>
              <w:jc w:val="center"/>
              <w:rPr>
                <w:rFonts w:ascii="Times New Roman" w:eastAsia="Times New Roman" w:hAnsi="Times New Roman" w:cs="Times New Roman"/>
                <w:sz w:val="18"/>
                <w:szCs w:val="18"/>
                <w:lang w:eastAsia="en-US"/>
              </w:rPr>
            </w:pPr>
            <w:r w:rsidRPr="00CD52A9">
              <w:rPr>
                <w:rFonts w:ascii="Times New Roman" w:eastAsia="Times New Roman" w:hAnsi="Times New Roman" w:cs="Times New Roman"/>
                <w:sz w:val="18"/>
                <w:szCs w:val="18"/>
              </w:rPr>
              <w:t>0.259</w:t>
            </w:r>
          </w:p>
        </w:tc>
        <w:tc>
          <w:tcPr>
            <w:tcW w:w="2234" w:type="dxa"/>
            <w:shd w:val="clear" w:color="auto" w:fill="auto"/>
            <w:noWrap/>
            <w:vAlign w:val="bottom"/>
            <w:hideMark/>
          </w:tcPr>
          <w:p w:rsidR="0095251C" w:rsidRPr="00CD52A9" w:rsidRDefault="0095251C" w:rsidP="00930BB9">
            <w:pPr>
              <w:jc w:val="center"/>
              <w:rPr>
                <w:rFonts w:ascii="Times New Roman" w:eastAsia="Times New Roman" w:hAnsi="Times New Roman" w:cs="Times New Roman"/>
                <w:sz w:val="18"/>
                <w:szCs w:val="18"/>
                <w:lang w:eastAsia="en-US"/>
              </w:rPr>
            </w:pPr>
            <w:r w:rsidRPr="00CD52A9">
              <w:rPr>
                <w:rFonts w:ascii="Times New Roman" w:eastAsia="Times New Roman" w:hAnsi="Times New Roman" w:cs="Times New Roman"/>
                <w:sz w:val="18"/>
                <w:szCs w:val="18"/>
              </w:rPr>
              <w:t>17.03</w:t>
            </w:r>
          </w:p>
        </w:tc>
      </w:tr>
      <w:tr w:rsidR="0095251C" w:rsidRPr="008E6952" w:rsidTr="00930BB9">
        <w:trPr>
          <w:trHeight w:val="240"/>
        </w:trPr>
        <w:tc>
          <w:tcPr>
            <w:tcW w:w="1275" w:type="dxa"/>
            <w:shd w:val="clear" w:color="auto" w:fill="auto"/>
            <w:noWrap/>
            <w:vAlign w:val="bottom"/>
          </w:tcPr>
          <w:p w:rsidR="0095251C" w:rsidRPr="00DA396C" w:rsidRDefault="0095251C" w:rsidP="00930BB9">
            <w:pPr>
              <w:jc w:val="center"/>
              <w:rPr>
                <w:rFonts w:ascii="Times" w:eastAsia="Times New Roman" w:hAnsi="Times" w:cs="Times New Roman"/>
                <w:sz w:val="18"/>
                <w:szCs w:val="18"/>
                <w:lang w:eastAsia="en-US"/>
              </w:rPr>
            </w:pPr>
          </w:p>
        </w:tc>
        <w:tc>
          <w:tcPr>
            <w:tcW w:w="1902" w:type="dxa"/>
            <w:shd w:val="clear" w:color="auto" w:fill="auto"/>
            <w:noWrap/>
            <w:vAlign w:val="bottom"/>
          </w:tcPr>
          <w:p w:rsidR="0095251C" w:rsidRPr="00CD52A9" w:rsidRDefault="0095251C" w:rsidP="00930BB9">
            <w:pPr>
              <w:jc w:val="center"/>
              <w:rPr>
                <w:rFonts w:ascii="Times New Roman" w:eastAsia="Times New Roman" w:hAnsi="Times New Roman" w:cs="Times New Roman"/>
                <w:sz w:val="18"/>
                <w:szCs w:val="18"/>
              </w:rPr>
            </w:pPr>
          </w:p>
        </w:tc>
        <w:tc>
          <w:tcPr>
            <w:tcW w:w="1980" w:type="dxa"/>
            <w:shd w:val="clear" w:color="auto" w:fill="auto"/>
            <w:noWrap/>
            <w:vAlign w:val="bottom"/>
          </w:tcPr>
          <w:p w:rsidR="0095251C" w:rsidRPr="00CD52A9" w:rsidRDefault="0095251C" w:rsidP="00930BB9">
            <w:pPr>
              <w:jc w:val="center"/>
              <w:rPr>
                <w:rFonts w:ascii="Times New Roman" w:eastAsia="Times New Roman" w:hAnsi="Times New Roman" w:cs="Times New Roman"/>
                <w:sz w:val="18"/>
                <w:szCs w:val="18"/>
              </w:rPr>
            </w:pPr>
          </w:p>
        </w:tc>
        <w:tc>
          <w:tcPr>
            <w:tcW w:w="2160" w:type="dxa"/>
            <w:shd w:val="clear" w:color="auto" w:fill="auto"/>
            <w:noWrap/>
            <w:vAlign w:val="bottom"/>
          </w:tcPr>
          <w:p w:rsidR="0095251C" w:rsidRPr="00CD52A9" w:rsidRDefault="0095251C" w:rsidP="00930BB9">
            <w:pPr>
              <w:jc w:val="center"/>
              <w:rPr>
                <w:rFonts w:ascii="Times New Roman" w:eastAsia="Times New Roman" w:hAnsi="Times New Roman" w:cs="Times New Roman"/>
                <w:sz w:val="18"/>
                <w:szCs w:val="18"/>
              </w:rPr>
            </w:pPr>
            <w:r>
              <w:rPr>
                <w:rFonts w:ascii="Times" w:eastAsia="Times New Roman" w:hAnsi="Times" w:cs="Times New Roman"/>
                <w:sz w:val="18"/>
                <w:szCs w:val="18"/>
                <w:lang w:eastAsia="en-US"/>
              </w:rPr>
              <w:t>Approx lognormal 5%-95% confidence range for Gmean</w:t>
            </w:r>
          </w:p>
        </w:tc>
        <w:tc>
          <w:tcPr>
            <w:tcW w:w="2234" w:type="dxa"/>
            <w:shd w:val="clear" w:color="auto" w:fill="auto"/>
            <w:noWrap/>
            <w:vAlign w:val="bottom"/>
          </w:tcPr>
          <w:p w:rsidR="0095251C" w:rsidRPr="00CD52A9" w:rsidRDefault="0095251C" w:rsidP="00930BB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10.6-27.2</w:t>
            </w:r>
          </w:p>
        </w:tc>
      </w:tr>
    </w:tbl>
    <w:p w:rsidR="0095251C" w:rsidRDefault="0095251C" w:rsidP="0095251C">
      <w:pPr>
        <w:pStyle w:val="Body"/>
        <w:jc w:val="center"/>
      </w:pPr>
    </w:p>
    <w:p w:rsidR="008F5387" w:rsidRDefault="008F5387" w:rsidP="008F5387">
      <w:pPr>
        <w:pBdr>
          <w:bottom w:val="single" w:sz="24" w:space="1" w:color="auto"/>
        </w:pBdr>
        <w:jc w:val="center"/>
        <w:rPr>
          <w:b/>
        </w:rPr>
      </w:pPr>
      <w:r w:rsidRPr="000772FD">
        <w:rPr>
          <w:b/>
        </w:rPr>
        <w:lastRenderedPageBreak/>
        <w:t xml:space="preserve">Table </w:t>
      </w:r>
      <w:r>
        <w:rPr>
          <w:b/>
        </w:rPr>
        <w:t xml:space="preserve">V.  </w:t>
      </w:r>
      <w:r w:rsidRPr="00622122">
        <w:t xml:space="preserve">Observations </w:t>
      </w:r>
      <w:r>
        <w:t xml:space="preserve">by Nolan et al. (1984) </w:t>
      </w:r>
      <w:r w:rsidRPr="00622122">
        <w:t xml:space="preserve">of Blood Chlorpyrifos Levels in Five Subjects Given 0.5 mg/kg </w:t>
      </w:r>
      <w:r>
        <w:t xml:space="preserve"> Orally </w:t>
      </w:r>
      <w:r w:rsidRPr="00622122">
        <w:t>in the Early 1980s Set of Human Exposure Experiments, and Calculated Integral “Area Under the Concentration X Time Curve” (AUC) Values</w:t>
      </w:r>
    </w:p>
    <w:p w:rsidR="008F5387" w:rsidRDefault="008F5387" w:rsidP="008F5387">
      <w:pPr>
        <w:spacing w:before="120"/>
        <w:jc w:val="center"/>
        <w:rPr>
          <w:b/>
        </w:rPr>
      </w:pPr>
      <w:r>
        <w:rPr>
          <w:b/>
        </w:rPr>
        <w:t xml:space="preserve">                                                         Individual Subjects</w:t>
      </w:r>
    </w:p>
    <w:tbl>
      <w:tblPr>
        <w:tblW w:w="9428" w:type="dxa"/>
        <w:tblInd w:w="180" w:type="dxa"/>
        <w:tblBorders>
          <w:top w:val="nil"/>
          <w:left w:val="nil"/>
          <w:bottom w:val="nil"/>
          <w:right w:val="nil"/>
        </w:tblBorders>
        <w:tblLayout w:type="fixed"/>
        <w:tblLook w:val="0000"/>
      </w:tblPr>
      <w:tblGrid>
        <w:gridCol w:w="3168"/>
        <w:gridCol w:w="1251"/>
        <w:gridCol w:w="1251"/>
        <w:gridCol w:w="1251"/>
        <w:gridCol w:w="1251"/>
        <w:gridCol w:w="1256"/>
      </w:tblGrid>
      <w:tr w:rsidR="008F5387" w:rsidTr="00930BB9">
        <w:trPr>
          <w:trHeight w:val="179"/>
        </w:trPr>
        <w:tc>
          <w:tcPr>
            <w:tcW w:w="3168" w:type="dxa"/>
            <w:tcBorders>
              <w:top w:val="nil"/>
              <w:left w:val="nil"/>
              <w:bottom w:val="single" w:sz="6" w:space="0" w:color="auto"/>
              <w:right w:val="nil"/>
            </w:tcBorders>
          </w:tcPr>
          <w:p w:rsidR="008F5387" w:rsidRPr="00BD123D" w:rsidRDefault="008F5387" w:rsidP="00930BB9">
            <w:pPr>
              <w:pStyle w:val="Default"/>
              <w:spacing w:after="40"/>
              <w:jc w:val="center"/>
              <w:rPr>
                <w:sz w:val="20"/>
                <w:szCs w:val="18"/>
              </w:rPr>
            </w:pPr>
            <w:r w:rsidRPr="00BD123D">
              <w:rPr>
                <w:b/>
                <w:bCs/>
                <w:sz w:val="20"/>
                <w:szCs w:val="18"/>
              </w:rPr>
              <w:t>Hours After Dosing</w:t>
            </w:r>
          </w:p>
        </w:tc>
        <w:tc>
          <w:tcPr>
            <w:tcW w:w="1251" w:type="dxa"/>
            <w:tcBorders>
              <w:top w:val="nil"/>
              <w:left w:val="nil"/>
              <w:bottom w:val="single" w:sz="6" w:space="0" w:color="auto"/>
              <w:right w:val="nil"/>
            </w:tcBorders>
          </w:tcPr>
          <w:p w:rsidR="008F5387" w:rsidRPr="00BD123D" w:rsidRDefault="008F5387" w:rsidP="00930BB9">
            <w:pPr>
              <w:pStyle w:val="Default"/>
              <w:spacing w:after="40"/>
              <w:jc w:val="center"/>
              <w:rPr>
                <w:sz w:val="20"/>
                <w:szCs w:val="18"/>
              </w:rPr>
            </w:pPr>
            <w:r w:rsidRPr="00BD123D">
              <w:rPr>
                <w:b/>
                <w:bCs/>
                <w:sz w:val="20"/>
                <w:szCs w:val="18"/>
              </w:rPr>
              <w:t xml:space="preserve">B </w:t>
            </w:r>
          </w:p>
        </w:tc>
        <w:tc>
          <w:tcPr>
            <w:tcW w:w="1251" w:type="dxa"/>
            <w:tcBorders>
              <w:top w:val="nil"/>
              <w:left w:val="nil"/>
              <w:bottom w:val="single" w:sz="6" w:space="0" w:color="auto"/>
              <w:right w:val="nil"/>
            </w:tcBorders>
          </w:tcPr>
          <w:p w:rsidR="008F5387" w:rsidRPr="00BD123D" w:rsidRDefault="008F5387" w:rsidP="00930BB9">
            <w:pPr>
              <w:pStyle w:val="Default"/>
              <w:spacing w:after="40"/>
              <w:jc w:val="center"/>
              <w:rPr>
                <w:sz w:val="20"/>
                <w:szCs w:val="18"/>
              </w:rPr>
            </w:pPr>
            <w:r w:rsidRPr="00BD123D">
              <w:rPr>
                <w:b/>
                <w:bCs/>
                <w:sz w:val="20"/>
                <w:szCs w:val="18"/>
              </w:rPr>
              <w:t xml:space="preserve">C </w:t>
            </w:r>
          </w:p>
        </w:tc>
        <w:tc>
          <w:tcPr>
            <w:tcW w:w="1251" w:type="dxa"/>
            <w:tcBorders>
              <w:top w:val="nil"/>
              <w:left w:val="nil"/>
              <w:bottom w:val="single" w:sz="6" w:space="0" w:color="auto"/>
              <w:right w:val="nil"/>
            </w:tcBorders>
          </w:tcPr>
          <w:p w:rsidR="008F5387" w:rsidRPr="00BD123D" w:rsidRDefault="008F5387" w:rsidP="00930BB9">
            <w:pPr>
              <w:pStyle w:val="Default"/>
              <w:spacing w:after="40"/>
              <w:jc w:val="center"/>
              <w:rPr>
                <w:sz w:val="20"/>
                <w:szCs w:val="18"/>
              </w:rPr>
            </w:pPr>
            <w:r w:rsidRPr="00BD123D">
              <w:rPr>
                <w:b/>
                <w:bCs/>
                <w:sz w:val="20"/>
                <w:szCs w:val="18"/>
              </w:rPr>
              <w:t xml:space="preserve">D </w:t>
            </w:r>
          </w:p>
        </w:tc>
        <w:tc>
          <w:tcPr>
            <w:tcW w:w="1251" w:type="dxa"/>
            <w:tcBorders>
              <w:top w:val="nil"/>
              <w:left w:val="nil"/>
              <w:bottom w:val="single" w:sz="6" w:space="0" w:color="auto"/>
              <w:right w:val="nil"/>
            </w:tcBorders>
          </w:tcPr>
          <w:p w:rsidR="008F5387" w:rsidRPr="00BD123D" w:rsidRDefault="008F5387" w:rsidP="00930BB9">
            <w:pPr>
              <w:pStyle w:val="Default"/>
              <w:spacing w:after="40"/>
              <w:jc w:val="center"/>
              <w:rPr>
                <w:sz w:val="20"/>
                <w:szCs w:val="18"/>
              </w:rPr>
            </w:pPr>
            <w:r w:rsidRPr="00BD123D">
              <w:rPr>
                <w:b/>
                <w:bCs/>
                <w:sz w:val="20"/>
                <w:szCs w:val="18"/>
              </w:rPr>
              <w:t xml:space="preserve">E </w:t>
            </w:r>
          </w:p>
        </w:tc>
        <w:tc>
          <w:tcPr>
            <w:tcW w:w="1256" w:type="dxa"/>
            <w:tcBorders>
              <w:top w:val="nil"/>
              <w:left w:val="nil"/>
              <w:bottom w:val="single" w:sz="6" w:space="0" w:color="auto"/>
              <w:right w:val="nil"/>
            </w:tcBorders>
          </w:tcPr>
          <w:p w:rsidR="008F5387" w:rsidRPr="00BD123D" w:rsidRDefault="008F5387" w:rsidP="00930BB9">
            <w:pPr>
              <w:pStyle w:val="Default"/>
              <w:spacing w:after="40"/>
              <w:jc w:val="center"/>
              <w:rPr>
                <w:sz w:val="20"/>
                <w:szCs w:val="18"/>
              </w:rPr>
            </w:pPr>
            <w:r w:rsidRPr="00BD123D">
              <w:rPr>
                <w:b/>
                <w:bCs/>
                <w:sz w:val="20"/>
                <w:szCs w:val="18"/>
              </w:rPr>
              <w:t xml:space="preserve">F </w:t>
            </w:r>
          </w:p>
        </w:tc>
      </w:tr>
      <w:tr w:rsidR="008F5387" w:rsidTr="00930BB9">
        <w:trPr>
          <w:trHeight w:val="119"/>
        </w:trPr>
        <w:tc>
          <w:tcPr>
            <w:tcW w:w="9428" w:type="dxa"/>
            <w:gridSpan w:val="6"/>
            <w:tcBorders>
              <w:top w:val="single" w:sz="6" w:space="0" w:color="auto"/>
              <w:left w:val="nil"/>
              <w:bottom w:val="nil"/>
              <w:right w:val="nil"/>
            </w:tcBorders>
          </w:tcPr>
          <w:p w:rsidR="008F5387" w:rsidRPr="00BD123D" w:rsidRDefault="008F5387" w:rsidP="00930BB9">
            <w:pPr>
              <w:pStyle w:val="Default"/>
              <w:spacing w:after="40"/>
              <w:jc w:val="center"/>
              <w:rPr>
                <w:sz w:val="20"/>
                <w:szCs w:val="18"/>
              </w:rPr>
            </w:pPr>
            <w:r w:rsidRPr="00BD123D">
              <w:rPr>
                <w:b/>
                <w:bCs/>
                <w:sz w:val="20"/>
                <w:szCs w:val="18"/>
              </w:rPr>
              <w:t>Blood C</w:t>
            </w:r>
            <w:r>
              <w:rPr>
                <w:b/>
                <w:bCs/>
                <w:sz w:val="20"/>
                <w:szCs w:val="18"/>
              </w:rPr>
              <w:t>hlorpyrifos Levels (</w:t>
            </w:r>
            <w:r w:rsidRPr="00BD123D">
              <w:rPr>
                <w:b/>
                <w:bCs/>
                <w:sz w:val="20"/>
                <w:szCs w:val="18"/>
              </w:rPr>
              <w:t xml:space="preserve">ng/ml) </w:t>
            </w:r>
          </w:p>
        </w:tc>
      </w:tr>
      <w:tr w:rsidR="008F5387" w:rsidTr="00930BB9">
        <w:trPr>
          <w:trHeight w:val="118"/>
        </w:trPr>
        <w:tc>
          <w:tcPr>
            <w:tcW w:w="3168"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0 </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vertAlign w:val="superscript"/>
              </w:rPr>
            </w:pPr>
            <w:r w:rsidRPr="00BD123D">
              <w:rPr>
                <w:sz w:val="20"/>
                <w:szCs w:val="18"/>
              </w:rPr>
              <w:t xml:space="preserve">ND </w:t>
            </w:r>
            <w:r w:rsidRPr="00BD123D">
              <w:rPr>
                <w:sz w:val="20"/>
                <w:szCs w:val="18"/>
                <w:vertAlign w:val="superscript"/>
              </w:rPr>
              <w:t>a</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c>
          <w:tcPr>
            <w:tcW w:w="1256" w:type="dxa"/>
            <w:tcBorders>
              <w:top w:val="nil"/>
              <w:left w:val="nil"/>
              <w:bottom w:val="nil"/>
              <w:right w:val="nil"/>
            </w:tcBorders>
            <w:vAlign w:val="bottom"/>
          </w:tcPr>
          <w:p w:rsidR="008F5387" w:rsidRPr="00BD123D" w:rsidRDefault="008F5387" w:rsidP="00930BB9">
            <w:pPr>
              <w:jc w:val="center"/>
              <w:rPr>
                <w:sz w:val="20"/>
              </w:rPr>
            </w:pPr>
            <w:r w:rsidRPr="00BD123D">
              <w:rPr>
                <w:sz w:val="20"/>
              </w:rPr>
              <w:t>9</w:t>
            </w:r>
          </w:p>
        </w:tc>
      </w:tr>
      <w:tr w:rsidR="008F5387" w:rsidTr="00930BB9">
        <w:trPr>
          <w:trHeight w:val="118"/>
        </w:trPr>
        <w:tc>
          <w:tcPr>
            <w:tcW w:w="3168"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1 </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6</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5</w:t>
            </w:r>
          </w:p>
        </w:tc>
        <w:tc>
          <w:tcPr>
            <w:tcW w:w="1256" w:type="dxa"/>
            <w:tcBorders>
              <w:top w:val="nil"/>
              <w:left w:val="nil"/>
              <w:bottom w:val="nil"/>
              <w:right w:val="nil"/>
            </w:tcBorders>
            <w:vAlign w:val="bottom"/>
          </w:tcPr>
          <w:p w:rsidR="008F5387" w:rsidRPr="00BD123D" w:rsidRDefault="008F5387" w:rsidP="00930BB9">
            <w:pPr>
              <w:jc w:val="center"/>
              <w:rPr>
                <w:sz w:val="20"/>
              </w:rPr>
            </w:pPr>
            <w:r w:rsidRPr="00BD123D">
              <w:rPr>
                <w:sz w:val="20"/>
              </w:rPr>
              <w:t>9</w:t>
            </w:r>
          </w:p>
        </w:tc>
      </w:tr>
      <w:tr w:rsidR="008F5387" w:rsidTr="00930BB9">
        <w:trPr>
          <w:trHeight w:val="118"/>
        </w:trPr>
        <w:tc>
          <w:tcPr>
            <w:tcW w:w="3168"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2 </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19</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w:t>
            </w:r>
            <w:r>
              <w:rPr>
                <w:sz w:val="20"/>
              </w:rPr>
              <w:t xml:space="preserve"> (blank in table)</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11</w:t>
            </w:r>
          </w:p>
        </w:tc>
        <w:tc>
          <w:tcPr>
            <w:tcW w:w="1256" w:type="dxa"/>
            <w:tcBorders>
              <w:top w:val="nil"/>
              <w:left w:val="nil"/>
              <w:bottom w:val="nil"/>
              <w:right w:val="nil"/>
            </w:tcBorders>
            <w:vAlign w:val="bottom"/>
          </w:tcPr>
          <w:p w:rsidR="008F5387" w:rsidRPr="00BD123D" w:rsidRDefault="008F5387" w:rsidP="00930BB9">
            <w:pPr>
              <w:jc w:val="center"/>
              <w:rPr>
                <w:sz w:val="20"/>
              </w:rPr>
            </w:pPr>
            <w:r w:rsidRPr="00BD123D">
              <w:rPr>
                <w:sz w:val="20"/>
              </w:rPr>
              <w:t>15</w:t>
            </w:r>
          </w:p>
        </w:tc>
      </w:tr>
      <w:tr w:rsidR="008F5387" w:rsidTr="00930BB9">
        <w:trPr>
          <w:trHeight w:val="118"/>
        </w:trPr>
        <w:tc>
          <w:tcPr>
            <w:tcW w:w="3168"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4 </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9</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21</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8</w:t>
            </w:r>
          </w:p>
        </w:tc>
        <w:tc>
          <w:tcPr>
            <w:tcW w:w="1256" w:type="dxa"/>
            <w:tcBorders>
              <w:top w:val="nil"/>
              <w:left w:val="nil"/>
              <w:bottom w:val="nil"/>
              <w:right w:val="nil"/>
            </w:tcBorders>
            <w:vAlign w:val="bottom"/>
          </w:tcPr>
          <w:p w:rsidR="008F5387" w:rsidRPr="00BD123D" w:rsidRDefault="008F5387" w:rsidP="00930BB9">
            <w:pPr>
              <w:jc w:val="center"/>
              <w:rPr>
                <w:sz w:val="20"/>
              </w:rPr>
            </w:pPr>
            <w:r w:rsidRPr="00BD123D">
              <w:rPr>
                <w:sz w:val="20"/>
              </w:rPr>
              <w:t>9</w:t>
            </w:r>
          </w:p>
        </w:tc>
      </w:tr>
      <w:tr w:rsidR="008F5387" w:rsidTr="00930BB9">
        <w:trPr>
          <w:trHeight w:val="118"/>
        </w:trPr>
        <w:tc>
          <w:tcPr>
            <w:tcW w:w="3168"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6 </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12</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12</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21</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8</w:t>
            </w:r>
          </w:p>
        </w:tc>
        <w:tc>
          <w:tcPr>
            <w:tcW w:w="1256" w:type="dxa"/>
            <w:tcBorders>
              <w:top w:val="nil"/>
              <w:left w:val="nil"/>
              <w:bottom w:val="nil"/>
              <w:right w:val="nil"/>
            </w:tcBorders>
            <w:vAlign w:val="bottom"/>
          </w:tcPr>
          <w:p w:rsidR="008F5387" w:rsidRPr="00BD123D" w:rsidRDefault="008F5387" w:rsidP="00930BB9">
            <w:pPr>
              <w:jc w:val="center"/>
              <w:rPr>
                <w:sz w:val="20"/>
              </w:rPr>
            </w:pPr>
            <w:r w:rsidRPr="00BD123D">
              <w:rPr>
                <w:sz w:val="20"/>
              </w:rPr>
              <w:t>18</w:t>
            </w:r>
          </w:p>
        </w:tc>
      </w:tr>
      <w:tr w:rsidR="008F5387" w:rsidTr="00930BB9">
        <w:trPr>
          <w:trHeight w:val="118"/>
        </w:trPr>
        <w:tc>
          <w:tcPr>
            <w:tcW w:w="3168"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8 </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7</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30</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c>
          <w:tcPr>
            <w:tcW w:w="1256"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r>
      <w:tr w:rsidR="008F5387" w:rsidTr="00930BB9">
        <w:trPr>
          <w:trHeight w:val="118"/>
        </w:trPr>
        <w:tc>
          <w:tcPr>
            <w:tcW w:w="3168"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10 </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8</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6</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c>
          <w:tcPr>
            <w:tcW w:w="1256"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r>
      <w:tr w:rsidR="008F5387" w:rsidTr="00930BB9">
        <w:trPr>
          <w:trHeight w:val="118"/>
        </w:trPr>
        <w:tc>
          <w:tcPr>
            <w:tcW w:w="3168"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12 </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28</w:t>
            </w:r>
          </w:p>
        </w:tc>
        <w:tc>
          <w:tcPr>
            <w:tcW w:w="1251" w:type="dxa"/>
            <w:tcBorders>
              <w:top w:val="nil"/>
              <w:left w:val="nil"/>
              <w:bottom w:val="nil"/>
              <w:right w:val="nil"/>
            </w:tcBorders>
            <w:vAlign w:val="bottom"/>
          </w:tcPr>
          <w:p w:rsidR="008F5387" w:rsidRPr="00BD123D" w:rsidRDefault="008F5387" w:rsidP="00930BB9">
            <w:pPr>
              <w:jc w:val="center"/>
              <w:rPr>
                <w:sz w:val="20"/>
              </w:rPr>
            </w:pPr>
            <w:r w:rsidRPr="00BD123D">
              <w:rPr>
                <w:sz w:val="20"/>
              </w:rPr>
              <w:t>15</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c>
          <w:tcPr>
            <w:tcW w:w="1256" w:type="dxa"/>
            <w:tcBorders>
              <w:top w:val="nil"/>
              <w:left w:val="nil"/>
              <w:bottom w:val="nil"/>
              <w:right w:val="nil"/>
            </w:tcBorders>
          </w:tcPr>
          <w:p w:rsidR="008F5387" w:rsidRPr="00BD123D" w:rsidRDefault="008F5387" w:rsidP="00930BB9">
            <w:pPr>
              <w:pStyle w:val="Default"/>
              <w:spacing w:after="40"/>
              <w:jc w:val="center"/>
              <w:rPr>
                <w:sz w:val="20"/>
                <w:szCs w:val="18"/>
              </w:rPr>
            </w:pPr>
            <w:r w:rsidRPr="00BD123D">
              <w:rPr>
                <w:sz w:val="20"/>
                <w:szCs w:val="18"/>
              </w:rPr>
              <w:t xml:space="preserve">ND </w:t>
            </w:r>
          </w:p>
        </w:tc>
      </w:tr>
      <w:tr w:rsidR="008F5387" w:rsidTr="00930BB9">
        <w:trPr>
          <w:trHeight w:val="118"/>
        </w:trPr>
        <w:tc>
          <w:tcPr>
            <w:tcW w:w="3168" w:type="dxa"/>
            <w:tcBorders>
              <w:top w:val="nil"/>
              <w:left w:val="nil"/>
              <w:bottom w:val="nil"/>
              <w:right w:val="nil"/>
            </w:tcBorders>
          </w:tcPr>
          <w:p w:rsidR="008F5387" w:rsidRPr="00BD123D" w:rsidRDefault="008F5387" w:rsidP="00930BB9">
            <w:pPr>
              <w:pStyle w:val="Default"/>
              <w:spacing w:after="40"/>
              <w:jc w:val="center"/>
              <w:rPr>
                <w:sz w:val="20"/>
                <w:szCs w:val="18"/>
              </w:rPr>
            </w:pPr>
            <w:r>
              <w:rPr>
                <w:sz w:val="20"/>
                <w:szCs w:val="18"/>
              </w:rPr>
              <w:t>Calculated AUC 0-12 hours (ng-hr/ml), assuming imputed values of 3.1 ng/ml for the ND values</w:t>
            </w:r>
          </w:p>
        </w:tc>
        <w:tc>
          <w:tcPr>
            <w:tcW w:w="1251" w:type="dxa"/>
            <w:tcBorders>
              <w:top w:val="nil"/>
              <w:left w:val="nil"/>
              <w:bottom w:val="nil"/>
              <w:right w:val="nil"/>
            </w:tcBorders>
            <w:vAlign w:val="bottom"/>
          </w:tcPr>
          <w:p w:rsidR="008F5387" w:rsidRPr="00BD123D" w:rsidRDefault="008F5387" w:rsidP="00930BB9">
            <w:pPr>
              <w:jc w:val="center"/>
              <w:rPr>
                <w:sz w:val="20"/>
              </w:rPr>
            </w:pPr>
            <w:r>
              <w:rPr>
                <w:rFonts w:ascii="Calibri" w:eastAsia="Times New Roman" w:hAnsi="Calibri" w:cs="Times New Roman"/>
                <w:color w:val="000000"/>
                <w:sz w:val="22"/>
                <w:szCs w:val="22"/>
              </w:rPr>
              <w:t>97.5</w:t>
            </w:r>
          </w:p>
        </w:tc>
        <w:tc>
          <w:tcPr>
            <w:tcW w:w="1251" w:type="dxa"/>
            <w:tcBorders>
              <w:top w:val="nil"/>
              <w:left w:val="nil"/>
              <w:bottom w:val="nil"/>
              <w:right w:val="nil"/>
            </w:tcBorders>
            <w:vAlign w:val="bottom"/>
          </w:tcPr>
          <w:p w:rsidR="008F5387" w:rsidRPr="00BD123D" w:rsidRDefault="008F5387" w:rsidP="00930BB9">
            <w:pPr>
              <w:jc w:val="center"/>
              <w:rPr>
                <w:sz w:val="20"/>
              </w:rPr>
            </w:pPr>
            <w:r>
              <w:rPr>
                <w:rFonts w:ascii="Calibri" w:eastAsia="Times New Roman" w:hAnsi="Calibri" w:cs="Times New Roman"/>
                <w:color w:val="000000"/>
                <w:sz w:val="22"/>
                <w:szCs w:val="22"/>
              </w:rPr>
              <w:t>162.1</w:t>
            </w:r>
          </w:p>
        </w:tc>
        <w:tc>
          <w:tcPr>
            <w:tcW w:w="1251" w:type="dxa"/>
            <w:tcBorders>
              <w:top w:val="nil"/>
              <w:left w:val="nil"/>
              <w:bottom w:val="nil"/>
              <w:right w:val="nil"/>
            </w:tcBorders>
            <w:vAlign w:val="bottom"/>
          </w:tcPr>
          <w:p w:rsidR="008F5387" w:rsidRPr="00BD123D" w:rsidRDefault="008F5387" w:rsidP="00930BB9">
            <w:pPr>
              <w:pStyle w:val="Default"/>
              <w:spacing w:after="40"/>
              <w:jc w:val="center"/>
              <w:rPr>
                <w:sz w:val="20"/>
                <w:szCs w:val="18"/>
              </w:rPr>
            </w:pPr>
            <w:r>
              <w:rPr>
                <w:rFonts w:ascii="Calibri" w:hAnsi="Calibri"/>
                <w:sz w:val="22"/>
                <w:szCs w:val="22"/>
              </w:rPr>
              <w:t>123.5</w:t>
            </w:r>
          </w:p>
        </w:tc>
        <w:tc>
          <w:tcPr>
            <w:tcW w:w="1251" w:type="dxa"/>
            <w:tcBorders>
              <w:top w:val="nil"/>
              <w:left w:val="nil"/>
              <w:bottom w:val="nil"/>
              <w:right w:val="nil"/>
            </w:tcBorders>
            <w:vAlign w:val="bottom"/>
          </w:tcPr>
          <w:p w:rsidR="008F5387" w:rsidRPr="00BD123D" w:rsidRDefault="008F5387" w:rsidP="00930BB9">
            <w:pPr>
              <w:pStyle w:val="Default"/>
              <w:spacing w:after="40"/>
              <w:jc w:val="center"/>
              <w:rPr>
                <w:sz w:val="20"/>
                <w:szCs w:val="18"/>
              </w:rPr>
            </w:pPr>
            <w:r>
              <w:rPr>
                <w:rFonts w:ascii="Calibri" w:hAnsi="Calibri"/>
                <w:sz w:val="22"/>
                <w:szCs w:val="22"/>
              </w:rPr>
              <w:t>70.5</w:t>
            </w:r>
          </w:p>
        </w:tc>
        <w:tc>
          <w:tcPr>
            <w:tcW w:w="1256" w:type="dxa"/>
            <w:tcBorders>
              <w:top w:val="nil"/>
              <w:left w:val="nil"/>
              <w:bottom w:val="nil"/>
              <w:right w:val="nil"/>
            </w:tcBorders>
            <w:vAlign w:val="bottom"/>
          </w:tcPr>
          <w:p w:rsidR="008F5387" w:rsidRPr="00BD123D" w:rsidRDefault="008F5387" w:rsidP="00930BB9">
            <w:pPr>
              <w:pStyle w:val="Default"/>
              <w:spacing w:after="40"/>
              <w:jc w:val="center"/>
              <w:rPr>
                <w:sz w:val="20"/>
                <w:szCs w:val="18"/>
              </w:rPr>
            </w:pPr>
            <w:r>
              <w:rPr>
                <w:rFonts w:ascii="Calibri" w:hAnsi="Calibri"/>
                <w:sz w:val="22"/>
                <w:szCs w:val="22"/>
              </w:rPr>
              <w:t>105.5</w:t>
            </w:r>
          </w:p>
        </w:tc>
      </w:tr>
      <w:tr w:rsidR="008F5387" w:rsidTr="00930BB9">
        <w:trPr>
          <w:trHeight w:val="118"/>
        </w:trPr>
        <w:tc>
          <w:tcPr>
            <w:tcW w:w="3168" w:type="dxa"/>
            <w:tcBorders>
              <w:top w:val="nil"/>
              <w:left w:val="nil"/>
              <w:bottom w:val="nil"/>
              <w:right w:val="nil"/>
            </w:tcBorders>
          </w:tcPr>
          <w:p w:rsidR="008F5387" w:rsidRPr="00BD123D" w:rsidRDefault="008F5387" w:rsidP="00930BB9">
            <w:pPr>
              <w:pStyle w:val="Default"/>
              <w:spacing w:after="40"/>
              <w:jc w:val="center"/>
              <w:rPr>
                <w:sz w:val="20"/>
                <w:szCs w:val="18"/>
              </w:rPr>
            </w:pPr>
            <w:r>
              <w:rPr>
                <w:sz w:val="20"/>
                <w:szCs w:val="18"/>
              </w:rPr>
              <w:t>Calculated AUC 0-12 hours (ng-hr/ml assuming 0 for the ND values</w:t>
            </w:r>
          </w:p>
        </w:tc>
        <w:tc>
          <w:tcPr>
            <w:tcW w:w="1251" w:type="dxa"/>
            <w:tcBorders>
              <w:top w:val="nil"/>
              <w:left w:val="nil"/>
              <w:bottom w:val="nil"/>
              <w:right w:val="nil"/>
            </w:tcBorders>
            <w:vAlign w:val="bottom"/>
          </w:tcPr>
          <w:p w:rsidR="008F5387" w:rsidRPr="00BD123D" w:rsidRDefault="008F5387" w:rsidP="00930BB9">
            <w:pPr>
              <w:jc w:val="center"/>
              <w:rPr>
                <w:sz w:val="20"/>
              </w:rPr>
            </w:pPr>
            <w:r>
              <w:rPr>
                <w:rFonts w:ascii="Calibri" w:eastAsia="Times New Roman" w:hAnsi="Calibri" w:cs="Times New Roman"/>
                <w:color w:val="000000"/>
                <w:sz w:val="22"/>
                <w:szCs w:val="22"/>
              </w:rPr>
              <w:t>82.0</w:t>
            </w:r>
          </w:p>
        </w:tc>
        <w:tc>
          <w:tcPr>
            <w:tcW w:w="1251" w:type="dxa"/>
            <w:tcBorders>
              <w:top w:val="nil"/>
              <w:left w:val="nil"/>
              <w:bottom w:val="nil"/>
              <w:right w:val="nil"/>
            </w:tcBorders>
            <w:vAlign w:val="bottom"/>
          </w:tcPr>
          <w:p w:rsidR="008F5387" w:rsidRPr="00BD123D" w:rsidRDefault="008F5387" w:rsidP="00930BB9">
            <w:pPr>
              <w:jc w:val="center"/>
              <w:rPr>
                <w:sz w:val="20"/>
              </w:rPr>
            </w:pPr>
            <w:r>
              <w:rPr>
                <w:rFonts w:ascii="Calibri" w:eastAsia="Times New Roman" w:hAnsi="Calibri" w:cs="Times New Roman"/>
                <w:color w:val="000000"/>
                <w:sz w:val="22"/>
                <w:szCs w:val="22"/>
              </w:rPr>
              <w:t>157.5</w:t>
            </w:r>
          </w:p>
        </w:tc>
        <w:tc>
          <w:tcPr>
            <w:tcW w:w="1251" w:type="dxa"/>
            <w:tcBorders>
              <w:top w:val="nil"/>
              <w:left w:val="nil"/>
              <w:bottom w:val="nil"/>
              <w:right w:val="nil"/>
            </w:tcBorders>
            <w:vAlign w:val="bottom"/>
          </w:tcPr>
          <w:p w:rsidR="008F5387" w:rsidRPr="00BD123D" w:rsidRDefault="008F5387" w:rsidP="00930BB9">
            <w:pPr>
              <w:pStyle w:val="Default"/>
              <w:spacing w:after="40"/>
              <w:jc w:val="center"/>
              <w:rPr>
                <w:sz w:val="20"/>
                <w:szCs w:val="18"/>
              </w:rPr>
            </w:pPr>
            <w:r>
              <w:rPr>
                <w:rFonts w:ascii="Calibri" w:hAnsi="Calibri"/>
                <w:sz w:val="22"/>
                <w:szCs w:val="22"/>
              </w:rPr>
              <w:t>106.5</w:t>
            </w:r>
          </w:p>
        </w:tc>
        <w:tc>
          <w:tcPr>
            <w:tcW w:w="1251" w:type="dxa"/>
            <w:tcBorders>
              <w:top w:val="nil"/>
              <w:left w:val="nil"/>
              <w:bottom w:val="nil"/>
              <w:right w:val="nil"/>
            </w:tcBorders>
            <w:vAlign w:val="bottom"/>
          </w:tcPr>
          <w:p w:rsidR="008F5387" w:rsidRPr="00BD123D" w:rsidRDefault="008F5387" w:rsidP="00930BB9">
            <w:pPr>
              <w:pStyle w:val="Default"/>
              <w:spacing w:after="40"/>
              <w:jc w:val="center"/>
              <w:rPr>
                <w:sz w:val="20"/>
                <w:szCs w:val="18"/>
              </w:rPr>
            </w:pPr>
            <w:r>
              <w:rPr>
                <w:rFonts w:ascii="Calibri" w:hAnsi="Calibri"/>
                <w:sz w:val="22"/>
                <w:szCs w:val="22"/>
              </w:rPr>
              <w:t>53.5</w:t>
            </w:r>
          </w:p>
        </w:tc>
        <w:tc>
          <w:tcPr>
            <w:tcW w:w="1256" w:type="dxa"/>
            <w:tcBorders>
              <w:top w:val="nil"/>
              <w:left w:val="nil"/>
              <w:bottom w:val="nil"/>
              <w:right w:val="nil"/>
            </w:tcBorders>
            <w:vAlign w:val="bottom"/>
          </w:tcPr>
          <w:p w:rsidR="008F5387" w:rsidRPr="00BD123D" w:rsidRDefault="008F5387" w:rsidP="00930BB9">
            <w:pPr>
              <w:pStyle w:val="Default"/>
              <w:spacing w:after="40"/>
              <w:jc w:val="center"/>
              <w:rPr>
                <w:sz w:val="20"/>
                <w:szCs w:val="18"/>
              </w:rPr>
            </w:pPr>
            <w:r>
              <w:rPr>
                <w:rFonts w:ascii="Calibri" w:hAnsi="Calibri"/>
                <w:sz w:val="22"/>
                <w:szCs w:val="22"/>
              </w:rPr>
              <w:t>90.0</w:t>
            </w:r>
          </w:p>
        </w:tc>
      </w:tr>
      <w:tr w:rsidR="008F5387" w:rsidTr="00930BB9">
        <w:trPr>
          <w:trHeight w:val="118"/>
        </w:trPr>
        <w:tc>
          <w:tcPr>
            <w:tcW w:w="3168" w:type="dxa"/>
            <w:tcBorders>
              <w:top w:val="nil"/>
              <w:left w:val="nil"/>
              <w:bottom w:val="nil"/>
              <w:right w:val="nil"/>
            </w:tcBorders>
          </w:tcPr>
          <w:p w:rsidR="008F5387" w:rsidRPr="00BD123D" w:rsidRDefault="008F5387" w:rsidP="00930BB9">
            <w:pPr>
              <w:pStyle w:val="Default"/>
              <w:spacing w:after="40"/>
              <w:jc w:val="center"/>
              <w:rPr>
                <w:sz w:val="20"/>
                <w:szCs w:val="18"/>
              </w:rPr>
            </w:pPr>
          </w:p>
        </w:tc>
        <w:tc>
          <w:tcPr>
            <w:tcW w:w="1251" w:type="dxa"/>
            <w:tcBorders>
              <w:top w:val="nil"/>
              <w:left w:val="nil"/>
              <w:bottom w:val="nil"/>
              <w:right w:val="nil"/>
            </w:tcBorders>
            <w:vAlign w:val="bottom"/>
          </w:tcPr>
          <w:p w:rsidR="008F5387" w:rsidRPr="00BD123D" w:rsidRDefault="008F5387" w:rsidP="00930BB9">
            <w:pPr>
              <w:jc w:val="center"/>
              <w:rPr>
                <w:sz w:val="20"/>
              </w:rPr>
            </w:pPr>
          </w:p>
        </w:tc>
        <w:tc>
          <w:tcPr>
            <w:tcW w:w="1251" w:type="dxa"/>
            <w:tcBorders>
              <w:top w:val="nil"/>
              <w:left w:val="nil"/>
              <w:bottom w:val="nil"/>
              <w:right w:val="nil"/>
            </w:tcBorders>
            <w:vAlign w:val="bottom"/>
          </w:tcPr>
          <w:p w:rsidR="008F5387" w:rsidRPr="00BD123D" w:rsidRDefault="008F5387" w:rsidP="00930BB9">
            <w:pPr>
              <w:jc w:val="center"/>
              <w:rPr>
                <w:sz w:val="20"/>
              </w:rPr>
            </w:pP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p>
        </w:tc>
        <w:tc>
          <w:tcPr>
            <w:tcW w:w="1251" w:type="dxa"/>
            <w:tcBorders>
              <w:top w:val="nil"/>
              <w:left w:val="nil"/>
              <w:bottom w:val="nil"/>
              <w:right w:val="nil"/>
            </w:tcBorders>
          </w:tcPr>
          <w:p w:rsidR="008F5387" w:rsidRPr="00BD123D" w:rsidRDefault="008F5387" w:rsidP="00930BB9">
            <w:pPr>
              <w:pStyle w:val="Default"/>
              <w:spacing w:after="40"/>
              <w:jc w:val="center"/>
              <w:rPr>
                <w:sz w:val="20"/>
                <w:szCs w:val="18"/>
              </w:rPr>
            </w:pPr>
          </w:p>
        </w:tc>
        <w:tc>
          <w:tcPr>
            <w:tcW w:w="1256" w:type="dxa"/>
            <w:tcBorders>
              <w:top w:val="nil"/>
              <w:left w:val="nil"/>
              <w:bottom w:val="nil"/>
              <w:right w:val="nil"/>
            </w:tcBorders>
          </w:tcPr>
          <w:p w:rsidR="008F5387" w:rsidRPr="00BD123D" w:rsidRDefault="008F5387" w:rsidP="00930BB9">
            <w:pPr>
              <w:pStyle w:val="Default"/>
              <w:spacing w:after="40"/>
              <w:jc w:val="center"/>
              <w:rPr>
                <w:sz w:val="20"/>
                <w:szCs w:val="18"/>
              </w:rPr>
            </w:pPr>
          </w:p>
        </w:tc>
      </w:tr>
    </w:tbl>
    <w:p w:rsidR="008F5387" w:rsidRDefault="008F5387" w:rsidP="008F5387">
      <w:r>
        <w:rPr>
          <w:szCs w:val="18"/>
          <w:vertAlign w:val="superscript"/>
        </w:rPr>
        <w:t>a</w:t>
      </w:r>
      <w:r>
        <w:t xml:space="preserve"> ND = Not Detected—limit of detection was reportedly 5 ng/ml.</w:t>
      </w:r>
    </w:p>
    <w:p w:rsidR="008F5387" w:rsidRDefault="008F5387" w:rsidP="008F5387">
      <w:r w:rsidRPr="00592649">
        <w:t xml:space="preserve">Source: </w:t>
      </w:r>
      <w:r>
        <w:t>EPA summary (Anonymous, 2008) of data of Nolan (1982) reported in MRID 00124144.</w:t>
      </w:r>
      <w:r w:rsidRPr="00562914">
        <w:t xml:space="preserve"> </w:t>
      </w:r>
      <w:r w:rsidR="007A3FCF">
        <w:fldChar w:fldCharType="begin"/>
      </w:r>
      <w:r w:rsidR="00FC54EA">
        <w:instrText xml:space="preserve"> ADDIN EN.CITE &lt;EndNote&gt;&lt;Cite&gt;&lt;Author&gt;Anonymous&lt;/Author&gt;&lt;Year&gt;2008&lt;/Year&gt;&lt;RecNum&gt;210&lt;/RecNum&gt;&lt;DisplayText&gt;&lt;style face="superscript"&gt;(19)&lt;/style&gt;&lt;/DisplayText&gt;&lt;record&gt;&lt;rec-number&gt;210&lt;/rec-number&gt;&lt;foreign-keys&gt;&lt;key app="EN" db-id="xftvffafmwpe0fedf055pwp7ts95t0ta0v0a"&gt;210&lt;/key&gt;&lt;/foreign-keys&gt;&lt;ref-type name="Journal Article"&gt;17&lt;/ref-type&gt;&lt;contributors&gt;&lt;authors&gt;&lt;author&gt;Anonymous&lt;/author&gt;&lt;/authors&gt;&lt;/contributors&gt;&lt;titles&gt;&lt;title&gt;EPA Summary of MRID 00124144 Nolan. R. J.; Freshner, N.L.; et al. (1982) Chlorpyrifos: Pharmacokinetics in Human Volunteers Following Single Oral and Dermal Doses Toxicology and Applied Pharmacology. 73, 8-15 (1984).&lt;/title&gt;&lt;secondary-title&gt;EPA Hearing Docket #EPA-HQ-OPP-2008-0274-0012.2.pdf&lt;/secondary-title&gt;&lt;/titles&gt;&lt;periodical&gt;&lt;full-title&gt;EPA Hearing Docket #EPA-HQ-OPP-2008-0274-0012.2.pdf&lt;/full-title&gt;&lt;/periodical&gt;&lt;dates&gt;&lt;year&gt;2008&lt;/year&gt;&lt;/dates&gt;&lt;urls&gt;&lt;/urls&gt;&lt;/record&gt;&lt;/Cite&gt;&lt;/EndNote&gt;</w:instrText>
      </w:r>
      <w:r w:rsidR="007A3FCF">
        <w:fldChar w:fldCharType="separate"/>
      </w:r>
      <w:r w:rsidR="00FC54EA" w:rsidRPr="00FC54EA">
        <w:rPr>
          <w:noProof/>
          <w:vertAlign w:val="superscript"/>
        </w:rPr>
        <w:t>(</w:t>
      </w:r>
      <w:hyperlink w:anchor="_ENREF_19" w:tooltip="Anonymous, 2008 #210" w:history="1">
        <w:r w:rsidR="00FC54EA" w:rsidRPr="00FC54EA">
          <w:rPr>
            <w:noProof/>
            <w:vertAlign w:val="superscript"/>
          </w:rPr>
          <w:t>19</w:t>
        </w:r>
      </w:hyperlink>
      <w:r w:rsidR="00FC54EA" w:rsidRPr="00FC54EA">
        <w:rPr>
          <w:noProof/>
          <w:vertAlign w:val="superscript"/>
        </w:rPr>
        <w:t>)</w:t>
      </w:r>
      <w:r w:rsidR="007A3FCF">
        <w:fldChar w:fldCharType="end"/>
      </w:r>
    </w:p>
    <w:p w:rsidR="00656459" w:rsidRDefault="00656459" w:rsidP="00367AFE">
      <w:pPr>
        <w:pStyle w:val="Body"/>
        <w:sectPr w:rsidR="00656459" w:rsidSect="00191DA3">
          <w:pgSz w:w="12240" w:h="15840"/>
          <w:pgMar w:top="1440" w:right="1440" w:bottom="1440" w:left="1440" w:header="720" w:footer="720" w:gutter="0"/>
          <w:cols w:space="720"/>
          <w:titlePg/>
        </w:sectPr>
      </w:pPr>
    </w:p>
    <w:p w:rsidR="00656459" w:rsidRPr="00890BBC" w:rsidRDefault="00656459" w:rsidP="00656459">
      <w:pPr>
        <w:pBdr>
          <w:bottom w:val="single" w:sz="24" w:space="1" w:color="auto"/>
        </w:pBdr>
        <w:jc w:val="center"/>
        <w:rPr>
          <w:rFonts w:ascii="Times New Roman" w:hAnsi="Times New Roman" w:cs="Times New Roman"/>
        </w:rPr>
      </w:pPr>
      <w:r w:rsidRPr="0019426F">
        <w:rPr>
          <w:b/>
        </w:rPr>
        <w:lastRenderedPageBreak/>
        <w:t xml:space="preserve">Table </w:t>
      </w:r>
      <w:r>
        <w:rPr>
          <w:b/>
        </w:rPr>
        <w:t xml:space="preserve">VI.  </w:t>
      </w:r>
      <w:r w:rsidRPr="00890BBC">
        <w:rPr>
          <w:rFonts w:ascii="Times New Roman" w:hAnsi="Times New Roman" w:cs="Times New Roman"/>
        </w:rPr>
        <w:t xml:space="preserve">Observations of Blood Chlorpyrifos Levels in 8/24 </w:t>
      </w:r>
      <w:r>
        <w:rPr>
          <w:rFonts w:ascii="Times New Roman" w:hAnsi="Times New Roman" w:cs="Times New Roman"/>
        </w:rPr>
        <w:t xml:space="preserve">Kisicki et al. (1999) </w:t>
      </w:r>
      <w:r w:rsidRPr="00890BBC">
        <w:rPr>
          <w:rFonts w:ascii="Times New Roman" w:hAnsi="Times New Roman" w:cs="Times New Roman"/>
        </w:rPr>
        <w:t>Subjects Given 1-2 mg/kg in the More Recent Set of Human Exposure Experiments and Reported with at Least One CPF Blood Level Above The Reported Detection Limit of 1 ng/ml</w:t>
      </w:r>
    </w:p>
    <w:p w:rsidR="00656459" w:rsidRPr="00890BBC" w:rsidRDefault="00656459" w:rsidP="00656459">
      <w:pPr>
        <w:pBdr>
          <w:bottom w:val="single" w:sz="6" w:space="1" w:color="auto"/>
        </w:pBdr>
        <w:spacing w:before="120"/>
        <w:jc w:val="center"/>
        <w:rPr>
          <w:rFonts w:ascii="Times New Roman" w:hAnsi="Times New Roman" w:cs="Times New Roman"/>
        </w:rPr>
      </w:pPr>
      <w:r w:rsidRPr="00890BBC">
        <w:rPr>
          <w:rFonts w:ascii="Times New Roman" w:hAnsi="Times New Roman" w:cs="Times New Roman"/>
        </w:rPr>
        <w:t>Individual Subjects (number, sex, paroxonase genotype, dose)</w:t>
      </w:r>
    </w:p>
    <w:tbl>
      <w:tblPr>
        <w:tblW w:w="9675" w:type="dxa"/>
        <w:tblInd w:w="103" w:type="dxa"/>
        <w:tblLook w:val="0000"/>
      </w:tblPr>
      <w:tblGrid>
        <w:gridCol w:w="1535"/>
        <w:gridCol w:w="990"/>
        <w:gridCol w:w="990"/>
        <w:gridCol w:w="990"/>
        <w:gridCol w:w="1080"/>
        <w:gridCol w:w="990"/>
        <w:gridCol w:w="1080"/>
        <w:gridCol w:w="990"/>
        <w:gridCol w:w="1030"/>
      </w:tblGrid>
      <w:tr w:rsidR="00656459" w:rsidRPr="00890BBC" w:rsidTr="00B3121E">
        <w:trPr>
          <w:trHeight w:val="540"/>
        </w:trPr>
        <w:tc>
          <w:tcPr>
            <w:tcW w:w="1535" w:type="dxa"/>
            <w:tcBorders>
              <w:bottom w:val="single" w:sz="6" w:space="0" w:color="auto"/>
            </w:tcBorders>
            <w:shd w:val="clear" w:color="auto" w:fill="auto"/>
            <w:vAlign w:val="bottom"/>
          </w:tcPr>
          <w:p w:rsidR="00656459" w:rsidRPr="00532787" w:rsidRDefault="00656459" w:rsidP="00B3121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Hours After Dosing</w:t>
            </w:r>
          </w:p>
        </w:tc>
        <w:tc>
          <w:tcPr>
            <w:tcW w:w="990" w:type="dxa"/>
            <w:tcBorders>
              <w:bottom w:val="single" w:sz="6" w:space="0" w:color="auto"/>
            </w:tcBorders>
            <w:shd w:val="clear" w:color="auto" w:fill="auto"/>
            <w:vAlign w:val="bottom"/>
          </w:tcPr>
          <w:p w:rsidR="00656459" w:rsidRPr="00532787" w:rsidRDefault="00656459" w:rsidP="00B3121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47 M QQ 2 mg/kg</w:t>
            </w:r>
          </w:p>
        </w:tc>
        <w:tc>
          <w:tcPr>
            <w:tcW w:w="990" w:type="dxa"/>
            <w:tcBorders>
              <w:bottom w:val="single" w:sz="6" w:space="0" w:color="auto"/>
            </w:tcBorders>
            <w:shd w:val="clear" w:color="auto" w:fill="auto"/>
            <w:vAlign w:val="bottom"/>
          </w:tcPr>
          <w:p w:rsidR="00656459" w:rsidRPr="00532787" w:rsidRDefault="00656459" w:rsidP="00B3121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49 F QQ 2 mg/kg</w:t>
            </w:r>
          </w:p>
        </w:tc>
        <w:tc>
          <w:tcPr>
            <w:tcW w:w="990" w:type="dxa"/>
            <w:tcBorders>
              <w:bottom w:val="single" w:sz="6" w:space="0" w:color="auto"/>
            </w:tcBorders>
            <w:shd w:val="clear" w:color="auto" w:fill="auto"/>
            <w:vAlign w:val="bottom"/>
          </w:tcPr>
          <w:p w:rsidR="00656459" w:rsidRPr="00532787" w:rsidRDefault="00656459" w:rsidP="00B3121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56 F QQ 2 mg/kg</w:t>
            </w:r>
          </w:p>
        </w:tc>
        <w:tc>
          <w:tcPr>
            <w:tcW w:w="1080" w:type="dxa"/>
            <w:tcBorders>
              <w:bottom w:val="single" w:sz="6" w:space="0" w:color="auto"/>
            </w:tcBorders>
            <w:shd w:val="clear" w:color="auto" w:fill="auto"/>
            <w:vAlign w:val="bottom"/>
          </w:tcPr>
          <w:p w:rsidR="00656459" w:rsidRPr="00532787" w:rsidRDefault="00656459" w:rsidP="00B3121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59 F QQ 2 mg/kg</w:t>
            </w:r>
          </w:p>
        </w:tc>
        <w:tc>
          <w:tcPr>
            <w:tcW w:w="990" w:type="dxa"/>
            <w:tcBorders>
              <w:bottom w:val="single" w:sz="6" w:space="0" w:color="auto"/>
            </w:tcBorders>
            <w:shd w:val="clear" w:color="auto" w:fill="auto"/>
            <w:vAlign w:val="bottom"/>
          </w:tcPr>
          <w:p w:rsidR="00656459" w:rsidRPr="00532787" w:rsidRDefault="00656459" w:rsidP="00B3121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11 M QQ 1 mg/kg</w:t>
            </w:r>
          </w:p>
        </w:tc>
        <w:tc>
          <w:tcPr>
            <w:tcW w:w="1080" w:type="dxa"/>
            <w:tcBorders>
              <w:bottom w:val="single" w:sz="6" w:space="0" w:color="auto"/>
            </w:tcBorders>
            <w:shd w:val="clear" w:color="auto" w:fill="auto"/>
            <w:vAlign w:val="bottom"/>
          </w:tcPr>
          <w:p w:rsidR="00656459" w:rsidRPr="00532787" w:rsidRDefault="00656459" w:rsidP="00B3121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14 M QQ 1 mg/kg</w:t>
            </w:r>
          </w:p>
        </w:tc>
        <w:tc>
          <w:tcPr>
            <w:tcW w:w="990" w:type="dxa"/>
            <w:tcBorders>
              <w:bottom w:val="single" w:sz="6" w:space="0" w:color="auto"/>
            </w:tcBorders>
            <w:shd w:val="clear" w:color="auto" w:fill="auto"/>
            <w:vAlign w:val="bottom"/>
          </w:tcPr>
          <w:p w:rsidR="00656459" w:rsidRPr="00532787" w:rsidRDefault="00656459" w:rsidP="00B3121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21 F QQ 1 mg/kg</w:t>
            </w:r>
          </w:p>
        </w:tc>
        <w:tc>
          <w:tcPr>
            <w:tcW w:w="1030" w:type="dxa"/>
            <w:tcBorders>
              <w:bottom w:val="single" w:sz="6" w:space="0" w:color="auto"/>
            </w:tcBorders>
            <w:shd w:val="clear" w:color="auto" w:fill="auto"/>
            <w:vAlign w:val="bottom"/>
          </w:tcPr>
          <w:p w:rsidR="00656459" w:rsidRPr="00532787" w:rsidRDefault="00656459" w:rsidP="00B3121E">
            <w:pPr>
              <w:pBdr>
                <w:bottom w:val="single" w:sz="6" w:space="1" w:color="auto"/>
              </w:pBdr>
              <w:jc w:val="center"/>
              <w:rPr>
                <w:rFonts w:ascii="Times New Roman" w:hAnsi="Times New Roman" w:cs="Times New Roman"/>
                <w:sz w:val="20"/>
              </w:rPr>
            </w:pPr>
            <w:r w:rsidRPr="00532787">
              <w:rPr>
                <w:rFonts w:ascii="Times New Roman" w:hAnsi="Times New Roman" w:cs="Times New Roman"/>
                <w:sz w:val="20"/>
              </w:rPr>
              <w:t>30 F QR 1 mg/kg</w:t>
            </w:r>
          </w:p>
        </w:tc>
      </w:tr>
      <w:tr w:rsidR="00656459" w:rsidRPr="00890BBC" w:rsidTr="00B3121E">
        <w:trPr>
          <w:trHeight w:val="300"/>
        </w:trPr>
        <w:tc>
          <w:tcPr>
            <w:tcW w:w="1535" w:type="dxa"/>
            <w:tcBorders>
              <w:top w:val="single" w:sz="6" w:space="0" w:color="auto"/>
            </w:tcBorders>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0</w:t>
            </w:r>
          </w:p>
        </w:tc>
        <w:tc>
          <w:tcPr>
            <w:tcW w:w="990" w:type="dxa"/>
            <w:tcBorders>
              <w:top w:val="single" w:sz="6" w:space="0" w:color="auto"/>
            </w:tcBorders>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r w:rsidRPr="00890BBC">
              <w:rPr>
                <w:rFonts w:ascii="Times New Roman" w:hAnsi="Times New Roman" w:cs="Times New Roman"/>
                <w:szCs w:val="18"/>
                <w:vertAlign w:val="superscript"/>
              </w:rPr>
              <w:t xml:space="preserve"> a</w:t>
            </w:r>
          </w:p>
        </w:tc>
        <w:tc>
          <w:tcPr>
            <w:tcW w:w="990" w:type="dxa"/>
            <w:tcBorders>
              <w:top w:val="single" w:sz="6" w:space="0" w:color="auto"/>
            </w:tcBorders>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990" w:type="dxa"/>
            <w:tcBorders>
              <w:top w:val="single" w:sz="6" w:space="0" w:color="auto"/>
            </w:tcBorders>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1080" w:type="dxa"/>
            <w:tcBorders>
              <w:top w:val="single" w:sz="6" w:space="0" w:color="auto"/>
            </w:tcBorders>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990" w:type="dxa"/>
            <w:tcBorders>
              <w:top w:val="single" w:sz="6" w:space="0" w:color="auto"/>
            </w:tcBorders>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Ns</w:t>
            </w:r>
            <w:r w:rsidRPr="00890BBC">
              <w:rPr>
                <w:rFonts w:ascii="Times New Roman" w:hAnsi="Times New Roman" w:cs="Times New Roman"/>
                <w:szCs w:val="18"/>
                <w:vertAlign w:val="superscript"/>
              </w:rPr>
              <w:t xml:space="preserve"> b</w:t>
            </w:r>
          </w:p>
        </w:tc>
        <w:tc>
          <w:tcPr>
            <w:tcW w:w="1080" w:type="dxa"/>
            <w:tcBorders>
              <w:top w:val="single" w:sz="6" w:space="0" w:color="auto"/>
            </w:tcBorders>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990" w:type="dxa"/>
            <w:tcBorders>
              <w:top w:val="single" w:sz="6" w:space="0" w:color="auto"/>
            </w:tcBorders>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1030" w:type="dxa"/>
            <w:tcBorders>
              <w:top w:val="single" w:sz="6" w:space="0" w:color="auto"/>
            </w:tcBorders>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r>
      <w:tr w:rsidR="00656459" w:rsidRPr="00890BBC" w:rsidTr="00B3121E">
        <w:trPr>
          <w:trHeight w:val="300"/>
        </w:trPr>
        <w:tc>
          <w:tcPr>
            <w:tcW w:w="1535"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2</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3.1</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3.1</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108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2.2</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1</w:t>
            </w:r>
          </w:p>
        </w:tc>
        <w:tc>
          <w:tcPr>
            <w:tcW w:w="1080"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5.6</w:t>
            </w:r>
          </w:p>
        </w:tc>
        <w:tc>
          <w:tcPr>
            <w:tcW w:w="1030"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r>
      <w:tr w:rsidR="00656459" w:rsidRPr="00890BBC" w:rsidTr="00B3121E">
        <w:trPr>
          <w:trHeight w:val="300"/>
        </w:trPr>
        <w:tc>
          <w:tcPr>
            <w:tcW w:w="1535"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4</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1.3</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xx</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108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4.1</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108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2.7</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2.9</w:t>
            </w:r>
          </w:p>
        </w:tc>
        <w:tc>
          <w:tcPr>
            <w:tcW w:w="1030"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r>
      <w:tr w:rsidR="00656459" w:rsidRPr="00890BBC" w:rsidTr="00B3121E">
        <w:tc>
          <w:tcPr>
            <w:tcW w:w="1535"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8</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3.4</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1.7</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18</w:t>
            </w:r>
          </w:p>
        </w:tc>
        <w:tc>
          <w:tcPr>
            <w:tcW w:w="108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4.1</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108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1.5</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103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1.1</w:t>
            </w:r>
          </w:p>
        </w:tc>
      </w:tr>
      <w:tr w:rsidR="00656459" w:rsidRPr="00890BBC" w:rsidTr="00B3121E">
        <w:trPr>
          <w:trHeight w:val="300"/>
        </w:trPr>
        <w:tc>
          <w:tcPr>
            <w:tcW w:w="1535"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12</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1.8</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2.5</w:t>
            </w:r>
          </w:p>
        </w:tc>
        <w:tc>
          <w:tcPr>
            <w:tcW w:w="1080" w:type="dxa"/>
            <w:shd w:val="clear" w:color="auto" w:fill="auto"/>
            <w:noWrap/>
            <w:vAlign w:val="bottom"/>
          </w:tcPr>
          <w:p w:rsidR="00656459" w:rsidRPr="00890BBC" w:rsidRDefault="00656459" w:rsidP="00B3121E">
            <w:pPr>
              <w:jc w:val="center"/>
              <w:rPr>
                <w:rFonts w:ascii="Times New Roman" w:hAnsi="Times New Roman" w:cs="Times New Roman"/>
                <w:b/>
                <w:bCs/>
                <w:sz w:val="20"/>
              </w:rPr>
            </w:pPr>
            <w:r w:rsidRPr="00890BBC">
              <w:rPr>
                <w:rFonts w:ascii="Times New Roman" w:hAnsi="Times New Roman" w:cs="Times New Roman"/>
                <w:b/>
                <w:bCs/>
                <w:sz w:val="20"/>
              </w:rPr>
              <w:t>1.5</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1080"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990"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c>
          <w:tcPr>
            <w:tcW w:w="1030" w:type="dxa"/>
            <w:shd w:val="clear" w:color="auto" w:fill="auto"/>
            <w:noWrap/>
            <w:vAlign w:val="bottom"/>
          </w:tcPr>
          <w:p w:rsidR="00656459" w:rsidRPr="00890BBC" w:rsidRDefault="00656459" w:rsidP="00B3121E">
            <w:pPr>
              <w:jc w:val="center"/>
              <w:rPr>
                <w:rFonts w:ascii="Times New Roman" w:hAnsi="Times New Roman" w:cs="Times New Roman"/>
                <w:sz w:val="20"/>
              </w:rPr>
            </w:pPr>
            <w:r w:rsidRPr="00890BBC">
              <w:rPr>
                <w:rFonts w:ascii="Times New Roman" w:hAnsi="Times New Roman" w:cs="Times New Roman"/>
                <w:sz w:val="20"/>
              </w:rPr>
              <w:t>ND</w:t>
            </w:r>
          </w:p>
        </w:tc>
      </w:tr>
      <w:tr w:rsidR="00656459" w:rsidRPr="00890BBC" w:rsidTr="00B3121E">
        <w:trPr>
          <w:trHeight w:val="300"/>
        </w:trPr>
        <w:tc>
          <w:tcPr>
            <w:tcW w:w="1535" w:type="dxa"/>
            <w:shd w:val="clear" w:color="auto" w:fill="auto"/>
            <w:noWrap/>
            <w:vAlign w:val="bottom"/>
          </w:tcPr>
          <w:p w:rsidR="00656459" w:rsidRPr="00890BBC" w:rsidRDefault="00656459" w:rsidP="00B3121E">
            <w:pPr>
              <w:jc w:val="center"/>
              <w:rPr>
                <w:rFonts w:ascii="Times New Roman" w:hAnsi="Times New Roman" w:cs="Times New Roman"/>
                <w:sz w:val="20"/>
              </w:rPr>
            </w:pPr>
            <w:r>
              <w:rPr>
                <w:rFonts w:ascii="Times New Roman" w:hAnsi="Times New Roman" w:cs="Times New Roman"/>
                <w:sz w:val="20"/>
              </w:rPr>
              <w:t>AUC with Imputation of 0.671 for ND (ng-hr/ml)</w:t>
            </w:r>
          </w:p>
        </w:tc>
        <w:tc>
          <w:tcPr>
            <w:tcW w:w="990" w:type="dxa"/>
            <w:shd w:val="clear" w:color="auto" w:fill="auto"/>
            <w:noWrap/>
            <w:vAlign w:val="bottom"/>
          </w:tcPr>
          <w:p w:rsidR="00656459" w:rsidRPr="00475C3F" w:rsidRDefault="00656459" w:rsidP="00B3121E">
            <w:pPr>
              <w:jc w:val="center"/>
              <w:rPr>
                <w:rFonts w:ascii="Times New Roman" w:hAnsi="Times New Roman" w:cs="Times New Roman"/>
                <w:b/>
                <w:bCs/>
                <w:sz w:val="20"/>
                <w:szCs w:val="20"/>
              </w:rPr>
            </w:pPr>
            <w:r w:rsidRPr="00475C3F">
              <w:rPr>
                <w:rFonts w:ascii="Times New Roman" w:eastAsia="Times New Roman" w:hAnsi="Times New Roman" w:cs="Times New Roman"/>
                <w:color w:val="000000"/>
                <w:sz w:val="20"/>
                <w:szCs w:val="20"/>
              </w:rPr>
              <w:t>28.0</w:t>
            </w:r>
          </w:p>
        </w:tc>
        <w:tc>
          <w:tcPr>
            <w:tcW w:w="990" w:type="dxa"/>
            <w:shd w:val="clear" w:color="auto" w:fill="auto"/>
            <w:noWrap/>
            <w:vAlign w:val="bottom"/>
          </w:tcPr>
          <w:p w:rsidR="00656459" w:rsidRPr="00475C3F" w:rsidRDefault="00656459" w:rsidP="00B3121E">
            <w:pPr>
              <w:jc w:val="center"/>
              <w:rPr>
                <w:rFonts w:ascii="Times New Roman" w:hAnsi="Times New Roman" w:cs="Times New Roman"/>
                <w:sz w:val="20"/>
                <w:szCs w:val="20"/>
              </w:rPr>
            </w:pPr>
            <w:r w:rsidRPr="00475C3F">
              <w:rPr>
                <w:rFonts w:ascii="Times New Roman" w:eastAsia="Times New Roman" w:hAnsi="Times New Roman" w:cs="Times New Roman"/>
                <w:color w:val="000000"/>
                <w:sz w:val="20"/>
                <w:szCs w:val="20"/>
              </w:rPr>
              <w:t>22.9</w:t>
            </w:r>
          </w:p>
        </w:tc>
        <w:tc>
          <w:tcPr>
            <w:tcW w:w="990" w:type="dxa"/>
            <w:shd w:val="clear" w:color="auto" w:fill="auto"/>
            <w:noWrap/>
            <w:vAlign w:val="bottom"/>
          </w:tcPr>
          <w:p w:rsidR="00656459" w:rsidRPr="00475C3F" w:rsidRDefault="00656459" w:rsidP="00B3121E">
            <w:pPr>
              <w:jc w:val="center"/>
              <w:rPr>
                <w:rFonts w:ascii="Times New Roman" w:hAnsi="Times New Roman" w:cs="Times New Roman"/>
                <w:b/>
                <w:bCs/>
                <w:sz w:val="20"/>
                <w:szCs w:val="20"/>
              </w:rPr>
            </w:pPr>
            <w:r w:rsidRPr="00475C3F">
              <w:rPr>
                <w:rFonts w:ascii="Times New Roman" w:eastAsia="Times New Roman" w:hAnsi="Times New Roman" w:cs="Times New Roman"/>
                <w:color w:val="000000"/>
                <w:sz w:val="20"/>
                <w:szCs w:val="20"/>
              </w:rPr>
              <w:t>81.0</w:t>
            </w:r>
          </w:p>
        </w:tc>
        <w:tc>
          <w:tcPr>
            <w:tcW w:w="1080" w:type="dxa"/>
            <w:shd w:val="clear" w:color="auto" w:fill="auto"/>
            <w:noWrap/>
            <w:vAlign w:val="bottom"/>
          </w:tcPr>
          <w:p w:rsidR="00656459" w:rsidRPr="00475C3F" w:rsidRDefault="00656459" w:rsidP="00B3121E">
            <w:pPr>
              <w:jc w:val="center"/>
              <w:rPr>
                <w:rFonts w:ascii="Times New Roman" w:hAnsi="Times New Roman" w:cs="Times New Roman"/>
                <w:b/>
                <w:bCs/>
                <w:sz w:val="20"/>
                <w:szCs w:val="20"/>
              </w:rPr>
            </w:pPr>
            <w:r w:rsidRPr="00475C3F">
              <w:rPr>
                <w:rFonts w:ascii="Times New Roman" w:eastAsia="Times New Roman" w:hAnsi="Times New Roman" w:cs="Times New Roman"/>
                <w:color w:val="000000"/>
                <w:sz w:val="20"/>
                <w:szCs w:val="20"/>
              </w:rPr>
              <w:t>36.8</w:t>
            </w:r>
          </w:p>
        </w:tc>
        <w:tc>
          <w:tcPr>
            <w:tcW w:w="990" w:type="dxa"/>
            <w:shd w:val="clear" w:color="auto" w:fill="auto"/>
            <w:noWrap/>
            <w:vAlign w:val="bottom"/>
          </w:tcPr>
          <w:p w:rsidR="00656459" w:rsidRPr="00475C3F" w:rsidRDefault="00656459" w:rsidP="00B3121E">
            <w:pPr>
              <w:jc w:val="center"/>
              <w:rPr>
                <w:rFonts w:ascii="Times New Roman" w:hAnsi="Times New Roman" w:cs="Times New Roman"/>
                <w:sz w:val="20"/>
                <w:szCs w:val="20"/>
              </w:rPr>
            </w:pPr>
            <w:r w:rsidRPr="00475C3F">
              <w:rPr>
                <w:rFonts w:ascii="Times New Roman" w:eastAsia="Times New Roman" w:hAnsi="Times New Roman" w:cs="Times New Roman"/>
                <w:color w:val="000000"/>
                <w:sz w:val="20"/>
                <w:szCs w:val="20"/>
              </w:rPr>
              <w:t>9.0</w:t>
            </w:r>
          </w:p>
        </w:tc>
        <w:tc>
          <w:tcPr>
            <w:tcW w:w="1080" w:type="dxa"/>
            <w:shd w:val="clear" w:color="auto" w:fill="auto"/>
            <w:noWrap/>
            <w:vAlign w:val="bottom"/>
          </w:tcPr>
          <w:p w:rsidR="00656459" w:rsidRPr="00475C3F" w:rsidRDefault="00656459" w:rsidP="00B3121E">
            <w:pPr>
              <w:jc w:val="center"/>
              <w:rPr>
                <w:rFonts w:ascii="Times New Roman" w:hAnsi="Times New Roman" w:cs="Times New Roman"/>
                <w:sz w:val="20"/>
                <w:szCs w:val="20"/>
              </w:rPr>
            </w:pPr>
            <w:r w:rsidRPr="00475C3F">
              <w:rPr>
                <w:rFonts w:ascii="Times New Roman" w:eastAsia="Times New Roman" w:hAnsi="Times New Roman" w:cs="Times New Roman"/>
                <w:color w:val="000000"/>
                <w:sz w:val="20"/>
                <w:szCs w:val="20"/>
              </w:rPr>
              <w:t>17.5</w:t>
            </w:r>
          </w:p>
        </w:tc>
        <w:tc>
          <w:tcPr>
            <w:tcW w:w="990" w:type="dxa"/>
            <w:shd w:val="clear" w:color="auto" w:fill="auto"/>
            <w:noWrap/>
            <w:vAlign w:val="bottom"/>
          </w:tcPr>
          <w:p w:rsidR="00656459" w:rsidRPr="00475C3F" w:rsidRDefault="00656459" w:rsidP="00B3121E">
            <w:pPr>
              <w:jc w:val="center"/>
              <w:rPr>
                <w:rFonts w:ascii="Times New Roman" w:hAnsi="Times New Roman" w:cs="Times New Roman"/>
                <w:sz w:val="20"/>
                <w:szCs w:val="20"/>
              </w:rPr>
            </w:pPr>
            <w:r w:rsidRPr="00475C3F">
              <w:rPr>
                <w:rFonts w:ascii="Times New Roman" w:eastAsia="Times New Roman" w:hAnsi="Times New Roman" w:cs="Times New Roman"/>
                <w:color w:val="000000"/>
                <w:sz w:val="20"/>
                <w:szCs w:val="20"/>
              </w:rPr>
              <w:t>24.6</w:t>
            </w:r>
          </w:p>
        </w:tc>
        <w:tc>
          <w:tcPr>
            <w:tcW w:w="1030" w:type="dxa"/>
            <w:shd w:val="clear" w:color="auto" w:fill="auto"/>
            <w:noWrap/>
            <w:vAlign w:val="bottom"/>
          </w:tcPr>
          <w:p w:rsidR="00656459" w:rsidRPr="00475C3F" w:rsidRDefault="00656459" w:rsidP="00B3121E">
            <w:pPr>
              <w:jc w:val="center"/>
              <w:rPr>
                <w:rFonts w:ascii="Times New Roman" w:hAnsi="Times New Roman" w:cs="Times New Roman"/>
                <w:sz w:val="20"/>
                <w:szCs w:val="20"/>
              </w:rPr>
            </w:pPr>
            <w:r w:rsidRPr="00475C3F">
              <w:rPr>
                <w:rFonts w:ascii="Times New Roman" w:eastAsia="Times New Roman" w:hAnsi="Times New Roman" w:cs="Times New Roman"/>
                <w:color w:val="000000"/>
                <w:sz w:val="20"/>
                <w:szCs w:val="20"/>
              </w:rPr>
              <w:t>9.8</w:t>
            </w:r>
          </w:p>
        </w:tc>
      </w:tr>
      <w:tr w:rsidR="00656459" w:rsidRPr="00890BBC" w:rsidTr="00B3121E">
        <w:trPr>
          <w:trHeight w:val="300"/>
        </w:trPr>
        <w:tc>
          <w:tcPr>
            <w:tcW w:w="1535" w:type="dxa"/>
            <w:shd w:val="clear" w:color="auto" w:fill="auto"/>
            <w:noWrap/>
            <w:vAlign w:val="bottom"/>
          </w:tcPr>
          <w:p w:rsidR="00656459" w:rsidRPr="00890BBC" w:rsidRDefault="00656459" w:rsidP="00B3121E">
            <w:pPr>
              <w:jc w:val="center"/>
              <w:rPr>
                <w:rFonts w:ascii="Times New Roman" w:hAnsi="Times New Roman" w:cs="Times New Roman"/>
                <w:sz w:val="20"/>
              </w:rPr>
            </w:pPr>
            <w:r>
              <w:rPr>
                <w:rFonts w:ascii="Times New Roman" w:hAnsi="Times New Roman" w:cs="Times New Roman"/>
                <w:sz w:val="20"/>
              </w:rPr>
              <w:t>AUC assuming ND = 0</w:t>
            </w:r>
          </w:p>
        </w:tc>
        <w:tc>
          <w:tcPr>
            <w:tcW w:w="990" w:type="dxa"/>
            <w:shd w:val="clear" w:color="auto" w:fill="auto"/>
            <w:noWrap/>
            <w:vAlign w:val="bottom"/>
          </w:tcPr>
          <w:p w:rsidR="00656459" w:rsidRPr="00016BA1" w:rsidRDefault="00656459" w:rsidP="00B3121E">
            <w:pPr>
              <w:jc w:val="center"/>
              <w:rPr>
                <w:rFonts w:ascii="Times New Roman" w:hAnsi="Times New Roman" w:cs="Times New Roman"/>
                <w:b/>
                <w:bCs/>
                <w:sz w:val="20"/>
                <w:szCs w:val="20"/>
              </w:rPr>
            </w:pPr>
            <w:r w:rsidRPr="00016BA1">
              <w:rPr>
                <w:rFonts w:ascii="Times New Roman" w:eastAsia="Times New Roman" w:hAnsi="Times New Roman" w:cs="Times New Roman"/>
                <w:color w:val="000000"/>
                <w:sz w:val="20"/>
                <w:szCs w:val="20"/>
              </w:rPr>
              <w:t>27.3</w:t>
            </w:r>
          </w:p>
        </w:tc>
        <w:tc>
          <w:tcPr>
            <w:tcW w:w="990" w:type="dxa"/>
            <w:shd w:val="clear" w:color="auto" w:fill="auto"/>
            <w:noWrap/>
            <w:vAlign w:val="bottom"/>
          </w:tcPr>
          <w:p w:rsidR="00656459" w:rsidRPr="00016BA1" w:rsidRDefault="00656459" w:rsidP="00B3121E">
            <w:pPr>
              <w:jc w:val="center"/>
              <w:rPr>
                <w:rFonts w:ascii="Times New Roman" w:hAnsi="Times New Roman" w:cs="Times New Roman"/>
                <w:sz w:val="20"/>
                <w:szCs w:val="20"/>
              </w:rPr>
            </w:pPr>
            <w:r w:rsidRPr="00016BA1">
              <w:rPr>
                <w:rFonts w:ascii="Times New Roman" w:eastAsia="Times New Roman" w:hAnsi="Times New Roman" w:cs="Times New Roman"/>
                <w:color w:val="000000"/>
                <w:sz w:val="20"/>
                <w:szCs w:val="20"/>
              </w:rPr>
              <w:t>20.9</w:t>
            </w:r>
          </w:p>
        </w:tc>
        <w:tc>
          <w:tcPr>
            <w:tcW w:w="990" w:type="dxa"/>
            <w:shd w:val="clear" w:color="auto" w:fill="auto"/>
            <w:noWrap/>
            <w:vAlign w:val="bottom"/>
          </w:tcPr>
          <w:p w:rsidR="00656459" w:rsidRPr="00016BA1" w:rsidRDefault="00656459" w:rsidP="00B3121E">
            <w:pPr>
              <w:jc w:val="center"/>
              <w:rPr>
                <w:rFonts w:ascii="Times New Roman" w:hAnsi="Times New Roman" w:cs="Times New Roman"/>
                <w:b/>
                <w:bCs/>
                <w:sz w:val="20"/>
                <w:szCs w:val="20"/>
              </w:rPr>
            </w:pPr>
            <w:r w:rsidRPr="00016BA1">
              <w:rPr>
                <w:rFonts w:ascii="Times New Roman" w:eastAsia="Times New Roman" w:hAnsi="Times New Roman" w:cs="Times New Roman"/>
                <w:color w:val="000000"/>
                <w:sz w:val="20"/>
                <w:szCs w:val="20"/>
              </w:rPr>
              <w:t>77.0</w:t>
            </w:r>
          </w:p>
        </w:tc>
        <w:tc>
          <w:tcPr>
            <w:tcW w:w="1080" w:type="dxa"/>
            <w:shd w:val="clear" w:color="auto" w:fill="auto"/>
            <w:noWrap/>
            <w:vAlign w:val="bottom"/>
          </w:tcPr>
          <w:p w:rsidR="00656459" w:rsidRPr="00016BA1" w:rsidRDefault="00656459" w:rsidP="00B3121E">
            <w:pPr>
              <w:jc w:val="center"/>
              <w:rPr>
                <w:rFonts w:ascii="Times New Roman" w:hAnsi="Times New Roman" w:cs="Times New Roman"/>
                <w:b/>
                <w:bCs/>
                <w:sz w:val="20"/>
                <w:szCs w:val="20"/>
              </w:rPr>
            </w:pPr>
            <w:r w:rsidRPr="00016BA1">
              <w:rPr>
                <w:rFonts w:ascii="Times New Roman" w:eastAsia="Times New Roman" w:hAnsi="Times New Roman" w:cs="Times New Roman"/>
                <w:color w:val="000000"/>
                <w:sz w:val="20"/>
                <w:szCs w:val="20"/>
              </w:rPr>
              <w:t>36.1</w:t>
            </w:r>
          </w:p>
        </w:tc>
        <w:tc>
          <w:tcPr>
            <w:tcW w:w="990" w:type="dxa"/>
            <w:shd w:val="clear" w:color="auto" w:fill="auto"/>
            <w:noWrap/>
            <w:vAlign w:val="bottom"/>
          </w:tcPr>
          <w:p w:rsidR="00656459" w:rsidRPr="00016BA1" w:rsidRDefault="00656459" w:rsidP="00B3121E">
            <w:pPr>
              <w:jc w:val="center"/>
              <w:rPr>
                <w:rFonts w:ascii="Times New Roman" w:hAnsi="Times New Roman" w:cs="Times New Roman"/>
                <w:sz w:val="20"/>
                <w:szCs w:val="20"/>
              </w:rPr>
            </w:pPr>
            <w:r w:rsidRPr="00016BA1">
              <w:rPr>
                <w:rFonts w:ascii="Times New Roman" w:eastAsia="Times New Roman" w:hAnsi="Times New Roman" w:cs="Times New Roman"/>
                <w:color w:val="000000"/>
                <w:sz w:val="20"/>
                <w:szCs w:val="20"/>
              </w:rPr>
              <w:t>3.0</w:t>
            </w:r>
          </w:p>
        </w:tc>
        <w:tc>
          <w:tcPr>
            <w:tcW w:w="1080" w:type="dxa"/>
            <w:shd w:val="clear" w:color="auto" w:fill="auto"/>
            <w:noWrap/>
            <w:vAlign w:val="bottom"/>
          </w:tcPr>
          <w:p w:rsidR="00656459" w:rsidRPr="00016BA1" w:rsidRDefault="00656459" w:rsidP="00B3121E">
            <w:pPr>
              <w:jc w:val="center"/>
              <w:rPr>
                <w:rFonts w:ascii="Times New Roman" w:hAnsi="Times New Roman" w:cs="Times New Roman"/>
                <w:sz w:val="20"/>
                <w:szCs w:val="20"/>
              </w:rPr>
            </w:pPr>
            <w:r w:rsidRPr="00016BA1">
              <w:rPr>
                <w:rFonts w:ascii="Times New Roman" w:eastAsia="Times New Roman" w:hAnsi="Times New Roman" w:cs="Times New Roman"/>
                <w:color w:val="000000"/>
                <w:sz w:val="20"/>
                <w:szCs w:val="20"/>
              </w:rPr>
              <w:t>14.1</w:t>
            </w:r>
          </w:p>
        </w:tc>
        <w:tc>
          <w:tcPr>
            <w:tcW w:w="990" w:type="dxa"/>
            <w:shd w:val="clear" w:color="auto" w:fill="auto"/>
            <w:noWrap/>
            <w:vAlign w:val="bottom"/>
          </w:tcPr>
          <w:p w:rsidR="00656459" w:rsidRPr="00016BA1" w:rsidRDefault="00656459" w:rsidP="00B3121E">
            <w:pPr>
              <w:jc w:val="center"/>
              <w:rPr>
                <w:rFonts w:ascii="Times New Roman" w:hAnsi="Times New Roman" w:cs="Times New Roman"/>
                <w:sz w:val="20"/>
                <w:szCs w:val="20"/>
              </w:rPr>
            </w:pPr>
            <w:r w:rsidRPr="00016BA1">
              <w:rPr>
                <w:rFonts w:ascii="Times New Roman" w:eastAsia="Times New Roman" w:hAnsi="Times New Roman" w:cs="Times New Roman"/>
                <w:color w:val="000000"/>
                <w:sz w:val="20"/>
                <w:szCs w:val="20"/>
              </w:rPr>
              <w:t>19.9</w:t>
            </w:r>
          </w:p>
        </w:tc>
        <w:tc>
          <w:tcPr>
            <w:tcW w:w="1030" w:type="dxa"/>
            <w:shd w:val="clear" w:color="auto" w:fill="auto"/>
            <w:noWrap/>
            <w:vAlign w:val="bottom"/>
          </w:tcPr>
          <w:p w:rsidR="00656459" w:rsidRPr="00016BA1" w:rsidRDefault="00656459" w:rsidP="00B3121E">
            <w:pPr>
              <w:jc w:val="center"/>
              <w:rPr>
                <w:rFonts w:ascii="Times New Roman" w:hAnsi="Times New Roman" w:cs="Times New Roman"/>
                <w:sz w:val="20"/>
                <w:szCs w:val="20"/>
              </w:rPr>
            </w:pPr>
            <w:r w:rsidRPr="00016BA1">
              <w:rPr>
                <w:rFonts w:ascii="Times New Roman" w:eastAsia="Times New Roman" w:hAnsi="Times New Roman" w:cs="Times New Roman"/>
                <w:color w:val="000000"/>
                <w:sz w:val="20"/>
                <w:szCs w:val="20"/>
              </w:rPr>
              <w:t>4.4</w:t>
            </w:r>
          </w:p>
        </w:tc>
      </w:tr>
      <w:tr w:rsidR="00656459" w:rsidRPr="00890BBC" w:rsidTr="00B3121E">
        <w:trPr>
          <w:trHeight w:val="300"/>
        </w:trPr>
        <w:tc>
          <w:tcPr>
            <w:tcW w:w="1535" w:type="dxa"/>
            <w:shd w:val="clear" w:color="auto" w:fill="auto"/>
            <w:noWrap/>
            <w:vAlign w:val="bottom"/>
          </w:tcPr>
          <w:p w:rsidR="00656459" w:rsidRPr="00FF7A07" w:rsidRDefault="00656459" w:rsidP="00B3121E">
            <w:pPr>
              <w:jc w:val="center"/>
              <w:rPr>
                <w:rFonts w:ascii="Times New Roman" w:hAnsi="Times New Roman" w:cs="Times New Roman"/>
                <w:sz w:val="22"/>
                <w:vertAlign w:val="superscript"/>
              </w:rPr>
            </w:pPr>
            <w:r>
              <w:rPr>
                <w:rFonts w:ascii="Times New Roman" w:hAnsi="Times New Roman" w:cs="Times New Roman"/>
                <w:sz w:val="20"/>
              </w:rPr>
              <w:t>Fraction Absorbed</w:t>
            </w:r>
            <w:r w:rsidRPr="00FF7A07">
              <w:rPr>
                <w:rFonts w:ascii="Times New Roman" w:hAnsi="Times New Roman" w:cs="Times New Roman"/>
                <w:sz w:val="28"/>
                <w:szCs w:val="28"/>
                <w:vertAlign w:val="superscript"/>
              </w:rPr>
              <w:t>c</w:t>
            </w:r>
          </w:p>
        </w:tc>
        <w:tc>
          <w:tcPr>
            <w:tcW w:w="99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0.59</w:t>
            </w:r>
          </w:p>
        </w:tc>
        <w:tc>
          <w:tcPr>
            <w:tcW w:w="99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0.20</w:t>
            </w:r>
          </w:p>
        </w:tc>
        <w:tc>
          <w:tcPr>
            <w:tcW w:w="99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0.86</w:t>
            </w:r>
          </w:p>
        </w:tc>
        <w:tc>
          <w:tcPr>
            <w:tcW w:w="108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0.30</w:t>
            </w:r>
          </w:p>
        </w:tc>
        <w:tc>
          <w:tcPr>
            <w:tcW w:w="99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0.27</w:t>
            </w:r>
          </w:p>
        </w:tc>
        <w:tc>
          <w:tcPr>
            <w:tcW w:w="108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0.38</w:t>
            </w:r>
          </w:p>
        </w:tc>
        <w:tc>
          <w:tcPr>
            <w:tcW w:w="99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0.36</w:t>
            </w:r>
          </w:p>
        </w:tc>
        <w:tc>
          <w:tcPr>
            <w:tcW w:w="103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0.16</w:t>
            </w:r>
          </w:p>
        </w:tc>
      </w:tr>
      <w:tr w:rsidR="00656459" w:rsidRPr="00890BBC" w:rsidTr="00B3121E">
        <w:trPr>
          <w:trHeight w:val="300"/>
        </w:trPr>
        <w:tc>
          <w:tcPr>
            <w:tcW w:w="1535" w:type="dxa"/>
            <w:shd w:val="clear" w:color="auto" w:fill="auto"/>
            <w:noWrap/>
            <w:vAlign w:val="bottom"/>
          </w:tcPr>
          <w:p w:rsidR="00656459" w:rsidRDefault="00656459" w:rsidP="00B3121E">
            <w:pPr>
              <w:jc w:val="center"/>
              <w:rPr>
                <w:rFonts w:ascii="Times New Roman" w:hAnsi="Times New Roman" w:cs="Times New Roman"/>
                <w:sz w:val="20"/>
              </w:rPr>
            </w:pPr>
            <w:r>
              <w:rPr>
                <w:rFonts w:ascii="Times New Roman" w:hAnsi="Times New Roman" w:cs="Times New Roman"/>
                <w:sz w:val="20"/>
              </w:rPr>
              <w:t>AUC/Absorbed dose (ng-hr/ml)/mg/kg)</w:t>
            </w:r>
          </w:p>
        </w:tc>
        <w:tc>
          <w:tcPr>
            <w:tcW w:w="99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23.6</w:t>
            </w:r>
          </w:p>
        </w:tc>
        <w:tc>
          <w:tcPr>
            <w:tcW w:w="99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57.0</w:t>
            </w:r>
          </w:p>
        </w:tc>
        <w:tc>
          <w:tcPr>
            <w:tcW w:w="99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47.0</w:t>
            </w:r>
          </w:p>
        </w:tc>
        <w:tc>
          <w:tcPr>
            <w:tcW w:w="108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60.9</w:t>
            </w:r>
          </w:p>
        </w:tc>
        <w:tc>
          <w:tcPr>
            <w:tcW w:w="99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33.4</w:t>
            </w:r>
          </w:p>
        </w:tc>
        <w:tc>
          <w:tcPr>
            <w:tcW w:w="108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46.2</w:t>
            </w:r>
          </w:p>
        </w:tc>
        <w:tc>
          <w:tcPr>
            <w:tcW w:w="99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67.6</w:t>
            </w:r>
          </w:p>
        </w:tc>
        <w:tc>
          <w:tcPr>
            <w:tcW w:w="1030" w:type="dxa"/>
            <w:shd w:val="clear" w:color="auto" w:fill="auto"/>
            <w:noWrap/>
            <w:vAlign w:val="bottom"/>
          </w:tcPr>
          <w:p w:rsidR="00656459" w:rsidRPr="00C74CDA" w:rsidRDefault="00656459" w:rsidP="00B3121E">
            <w:pPr>
              <w:jc w:val="center"/>
              <w:rPr>
                <w:rFonts w:ascii="Times New Roman" w:eastAsia="Times New Roman" w:hAnsi="Times New Roman" w:cs="Times New Roman"/>
                <w:color w:val="000000"/>
                <w:sz w:val="20"/>
                <w:szCs w:val="20"/>
              </w:rPr>
            </w:pPr>
            <w:r w:rsidRPr="00C74CDA">
              <w:rPr>
                <w:rFonts w:ascii="Times New Roman" w:eastAsia="Times New Roman" w:hAnsi="Times New Roman" w:cs="Times New Roman"/>
                <w:color w:val="000000"/>
                <w:sz w:val="20"/>
                <w:szCs w:val="20"/>
              </w:rPr>
              <w:t>60.1</w:t>
            </w:r>
          </w:p>
        </w:tc>
      </w:tr>
    </w:tbl>
    <w:p w:rsidR="00656459" w:rsidRPr="00890BBC" w:rsidRDefault="00656459" w:rsidP="00656459">
      <w:pPr>
        <w:rPr>
          <w:rFonts w:ascii="Times New Roman" w:hAnsi="Times New Roman" w:cs="Times New Roman"/>
        </w:rPr>
      </w:pPr>
      <w:r w:rsidRPr="00890BBC">
        <w:rPr>
          <w:rFonts w:ascii="Times New Roman" w:hAnsi="Times New Roman" w:cs="Times New Roman"/>
          <w:szCs w:val="18"/>
          <w:vertAlign w:val="superscript"/>
        </w:rPr>
        <w:t>a</w:t>
      </w:r>
      <w:r w:rsidRPr="00890BBC">
        <w:rPr>
          <w:rFonts w:ascii="Times New Roman" w:hAnsi="Times New Roman" w:cs="Times New Roman"/>
        </w:rPr>
        <w:t xml:space="preserve"> ND = Not Detected</w:t>
      </w:r>
    </w:p>
    <w:p w:rsidR="00656459" w:rsidRPr="00890BBC" w:rsidRDefault="00656459" w:rsidP="00656459">
      <w:pPr>
        <w:rPr>
          <w:rFonts w:ascii="Times New Roman" w:hAnsi="Times New Roman" w:cs="Times New Roman"/>
        </w:rPr>
      </w:pPr>
      <w:r w:rsidRPr="00890BBC">
        <w:rPr>
          <w:rFonts w:ascii="Times New Roman" w:hAnsi="Times New Roman" w:cs="Times New Roman"/>
          <w:szCs w:val="18"/>
          <w:vertAlign w:val="superscript"/>
        </w:rPr>
        <w:t>b</w:t>
      </w:r>
      <w:r w:rsidRPr="00890BBC">
        <w:rPr>
          <w:rFonts w:ascii="Times New Roman" w:hAnsi="Times New Roman" w:cs="Times New Roman"/>
        </w:rPr>
        <w:t xml:space="preserve"> Ns is presumably “no sample”.</w:t>
      </w:r>
    </w:p>
    <w:p w:rsidR="00656459" w:rsidRDefault="00656459" w:rsidP="00656459">
      <w:r w:rsidRPr="00890BBC">
        <w:rPr>
          <w:rFonts w:ascii="Times New Roman" w:hAnsi="Times New Roman" w:cs="Times New Roman"/>
        </w:rPr>
        <w:t>Source: Brzak (1999)</w:t>
      </w:r>
      <w:r w:rsidRPr="00596EB5">
        <w:t xml:space="preserve"> </w:t>
      </w:r>
      <w:r w:rsidR="007A3FCF">
        <w:rPr>
          <w:rFonts w:ascii="Times New Roman" w:hAnsi="Times New Roman" w:cs="Times New Roman"/>
        </w:rPr>
        <w:fldChar w:fldCharType="begin"/>
      </w:r>
      <w:r w:rsidR="00FC54EA">
        <w:rPr>
          <w:rFonts w:ascii="Times New Roman" w:hAnsi="Times New Roman" w:cs="Times New Roman"/>
        </w:rPr>
        <w:instrText xml:space="preserve"> ADDIN EN.CITE &lt;EndNote&gt;&lt;Cite&gt;&lt;Author&gt;Brzak&lt;/Author&gt;&lt;Year&gt;1999&lt;/Year&gt;&lt;RecNum&gt;208&lt;/RecNum&gt;&lt;DisplayText&gt;&lt;style face="superscript"&gt;(20)&lt;/style&gt;&lt;/DisplayText&gt;&lt;record&gt;&lt;rec-number&gt;208&lt;/rec-number&gt;&lt;foreign-keys&gt;&lt;key app="EN" db-id="xftvffafmwpe0fedf055pwp7ts95t0ta0v0a"&gt;208&lt;/key&gt;&lt;/foreign-keys&gt;&lt;ref-type name="Report"&gt;27&lt;/ref-type&gt;&lt;contributors&gt;&lt;authors&gt;&lt;author&gt;Brzak, KA&lt;/author&gt;&lt;/authors&gt;&lt;/contributors&gt;&lt;titles&gt;&lt;title&gt;A rising dose toxicology study to determine the no-observable-effect levels for erthyrocyte acetylcholinesterase (AChE) inhibition and cholinergic signs and symptoms of chlorpyrifos at three dose levels - Part B (Pharmacokinetic and paraoxonase data).&lt;/title&gt;&lt;/titles&gt;&lt;number&gt;DOW, Study No.: 981176, June 5, 2000. MRID No.: 45144101&lt;/number&gt;&lt;dates&gt;&lt;year&gt;1999&lt;/year&gt;&lt;pub-dates&gt;&lt;date&gt;June 5, 2000&lt;/date&gt;&lt;/pub-dates&gt;&lt;/dates&gt;&lt;publisher&gt;Toxicology and Environmental Research and Consulting&lt;/publisher&gt;&lt;isbn&gt;Study No.: 981176, June 5, 2000. MRID No.: 45144101&lt;/isbn&gt;&lt;urls&gt;&lt;/urls&gt;&lt;/record&gt;&lt;/Cite&gt;&lt;/EndNote&gt;</w:instrText>
      </w:r>
      <w:r w:rsidR="007A3FCF">
        <w:rPr>
          <w:rFonts w:ascii="Times New Roman" w:hAnsi="Times New Roman" w:cs="Times New Roman"/>
        </w:rPr>
        <w:fldChar w:fldCharType="separate"/>
      </w:r>
      <w:r w:rsidR="00FC54EA" w:rsidRPr="00FC54EA">
        <w:rPr>
          <w:rFonts w:ascii="Times New Roman" w:hAnsi="Times New Roman" w:cs="Times New Roman"/>
          <w:noProof/>
          <w:vertAlign w:val="superscript"/>
        </w:rPr>
        <w:t>(</w:t>
      </w:r>
      <w:hyperlink w:anchor="_ENREF_20" w:tooltip="Brzak, 1999 #208" w:history="1">
        <w:r w:rsidR="00FC54EA" w:rsidRPr="00FC54EA">
          <w:rPr>
            <w:rFonts w:ascii="Times New Roman" w:hAnsi="Times New Roman" w:cs="Times New Roman"/>
            <w:noProof/>
            <w:vertAlign w:val="superscript"/>
          </w:rPr>
          <w:t>20</w:t>
        </w:r>
      </w:hyperlink>
      <w:r w:rsidR="00FC54EA" w:rsidRPr="00FC54EA">
        <w:rPr>
          <w:rFonts w:ascii="Times New Roman" w:hAnsi="Times New Roman" w:cs="Times New Roman"/>
          <w:noProof/>
          <w:vertAlign w:val="superscript"/>
        </w:rPr>
        <w:t>)</w:t>
      </w:r>
      <w:r w:rsidR="007A3FCF">
        <w:rPr>
          <w:rFonts w:ascii="Times New Roman" w:hAnsi="Times New Roman" w:cs="Times New Roman"/>
        </w:rPr>
        <w:fldChar w:fldCharType="end"/>
      </w:r>
      <w:r w:rsidRPr="00890BBC">
        <w:rPr>
          <w:rFonts w:ascii="Times New Roman" w:hAnsi="Times New Roman" w:cs="Times New Roman"/>
        </w:rPr>
        <w:t xml:space="preserve"> and Kisicki et al. (1999)</w:t>
      </w:r>
      <w:r w:rsidRPr="00596EB5">
        <w:t xml:space="preserve"> </w:t>
      </w:r>
      <w:r w:rsidR="007A3FCF">
        <w:rPr>
          <w:rFonts w:ascii="Times New Roman" w:hAnsi="Times New Roman" w:cs="Times New Roman"/>
        </w:rPr>
        <w:fldChar w:fldCharType="begin"/>
      </w:r>
      <w:r w:rsidR="00FC54EA">
        <w:rPr>
          <w:rFonts w:ascii="Times New Roman" w:hAnsi="Times New Roman" w:cs="Times New Roman"/>
        </w:rPr>
        <w:instrText xml:space="preserve"> ADDIN EN.CITE &lt;EndNote&gt;&lt;Cite&gt;&lt;Author&gt;Kisicki&lt;/Author&gt;&lt;Year&gt;1999&lt;/Year&gt;&lt;RecNum&gt;207&lt;/RecNum&gt;&lt;DisplayText&gt;&lt;style face="superscript"&gt;(11)&lt;/style&gt;&lt;/DisplayText&gt;&lt;record&gt;&lt;rec-number&gt;207&lt;/rec-number&gt;&lt;foreign-keys&gt;&lt;key app="EN" db-id="xftvffafmwpe0fedf055pwp7ts95t0ta0v0a"&gt;207&lt;/key&gt;&lt;/foreign-keys&gt;&lt;ref-type name="Report"&gt;27&lt;/ref-type&gt;&lt;contributors&gt;&lt;authors&gt;&lt;author&gt;Kisicki, JC, Seip, CW, Combs, ML&lt;/author&gt;&lt;/authors&gt;&lt;/contributors&gt;&lt;titles&gt;&lt;title&gt;A rising dose toxicology study to determine the no-observable-effect-levels (for erthyrocyte acetylcholinesterase (AChE) inhibition and cholinergic signs and symptoms of chlorpyrifos at three dose levels.&lt;/title&gt;&lt;/titles&gt;&lt;dates&gt;&lt;year&gt;1999&lt;/year&gt;&lt;pub-dates&gt;&lt;date&gt;April 18, 1999&lt;/date&gt;&lt;/pub-dates&gt;&lt;/dates&gt;&lt;publisher&gt;MDC Harris Laboratory, Lincoln Nebraska&lt;/publisher&gt;&lt;isbn&gt;MRID No.: 44811002.&lt;/isbn&gt;&lt;urls&gt;&lt;/urls&gt;&lt;/record&gt;&lt;/Cite&gt;&lt;/EndNote&gt;</w:instrText>
      </w:r>
      <w:r w:rsidR="007A3FCF">
        <w:rPr>
          <w:rFonts w:ascii="Times New Roman" w:hAnsi="Times New Roman" w:cs="Times New Roman"/>
        </w:rPr>
        <w:fldChar w:fldCharType="separate"/>
      </w:r>
      <w:r w:rsidR="00FC54EA" w:rsidRPr="00FC54EA">
        <w:rPr>
          <w:rFonts w:ascii="Times New Roman" w:hAnsi="Times New Roman" w:cs="Times New Roman"/>
          <w:noProof/>
          <w:vertAlign w:val="superscript"/>
        </w:rPr>
        <w:t>(</w:t>
      </w:r>
      <w:hyperlink w:anchor="_ENREF_11" w:tooltip="Kisicki, 1999 #207" w:history="1">
        <w:r w:rsidR="00FC54EA" w:rsidRPr="00FC54EA">
          <w:rPr>
            <w:rFonts w:ascii="Times New Roman" w:hAnsi="Times New Roman" w:cs="Times New Roman"/>
            <w:noProof/>
            <w:vertAlign w:val="superscript"/>
          </w:rPr>
          <w:t>11</w:t>
        </w:r>
      </w:hyperlink>
      <w:r w:rsidR="00FC54EA" w:rsidRPr="00FC54EA">
        <w:rPr>
          <w:rFonts w:ascii="Times New Roman" w:hAnsi="Times New Roman" w:cs="Times New Roman"/>
          <w:noProof/>
          <w:vertAlign w:val="superscript"/>
        </w:rPr>
        <w:t>)</w:t>
      </w:r>
      <w:r w:rsidR="007A3FCF">
        <w:rPr>
          <w:rFonts w:ascii="Times New Roman" w:hAnsi="Times New Roman" w:cs="Times New Roman"/>
        </w:rPr>
        <w:fldChar w:fldCharType="end"/>
      </w:r>
      <w:r w:rsidRPr="00890BBC">
        <w:rPr>
          <w:rFonts w:ascii="Times New Roman" w:hAnsi="Times New Roman" w:cs="Times New Roman"/>
        </w:rPr>
        <w:t xml:space="preserve"> as summarized by Doherty and Taylor (1999).</w:t>
      </w:r>
      <w:r w:rsidRPr="00596EB5">
        <w:t xml:space="preserve"> </w:t>
      </w:r>
      <w:r w:rsidR="007A3FCF">
        <w:rPr>
          <w:rFonts w:ascii="Times New Roman" w:hAnsi="Times New Roman" w:cs="Times New Roman"/>
        </w:rPr>
        <w:fldChar w:fldCharType="begin"/>
      </w:r>
      <w:r w:rsidR="00FC54EA">
        <w:rPr>
          <w:rFonts w:ascii="Times New Roman" w:hAnsi="Times New Roman" w:cs="Times New Roman"/>
        </w:rPr>
        <w:instrText xml:space="preserve"> ADDIN EN.CITE &lt;EndNote&gt;&lt;Cite&gt;&lt;Author&gt;Doherty&lt;/Author&gt;&lt;Year&gt;1999&lt;/Year&gt;&lt;RecNum&gt;209&lt;/RecNum&gt;&lt;DisplayText&gt;&lt;style face="superscript"&gt;(26)&lt;/style&gt;&lt;/DisplayText&gt;&lt;record&gt;&lt;rec-number&gt;209&lt;/rec-number&gt;&lt;foreign-keys&gt;&lt;key app="EN" db-id="xftvffafmwpe0fedf055pwp7ts95t0ta0v0a"&gt;209&lt;/key&gt;&lt;/foreign-keys&gt;&lt;ref-type name="Report"&gt;27&lt;/ref-type&gt;&lt;contributors&gt;&lt;authors&gt;&lt;author&gt;Doherty, J, Taylor L&lt;/author&gt;&lt;/authors&gt;&lt;/contributors&gt;&lt;titles&gt;&lt;title&gt;Data Evaluation Record, Special RBC AChE in Humans&lt;/title&gt;&lt;/titles&gt;&lt;pages&gt;1-29 and Appendix&lt;/pages&gt;&lt;number&gt;TXR# 0050308&lt;/number&gt;&lt;dates&gt;&lt;year&gt;1999&lt;/year&gt;&lt;/dates&gt;&lt;publisher&gt;U.S. Environmental Protection Agency&lt;/publisher&gt;&lt;isbn&gt;DP Barcode: D255538; PC Code: 059101, Submission No. S561108&lt;/isbn&gt;&lt;urls&gt;&lt;/urls&gt;&lt;/record&gt;&lt;/Cite&gt;&lt;/EndNote&gt;</w:instrText>
      </w:r>
      <w:r w:rsidR="007A3FCF">
        <w:rPr>
          <w:rFonts w:ascii="Times New Roman" w:hAnsi="Times New Roman" w:cs="Times New Roman"/>
        </w:rPr>
        <w:fldChar w:fldCharType="separate"/>
      </w:r>
      <w:r w:rsidR="00FC54EA" w:rsidRPr="00FC54EA">
        <w:rPr>
          <w:rFonts w:ascii="Times New Roman" w:hAnsi="Times New Roman" w:cs="Times New Roman"/>
          <w:noProof/>
          <w:vertAlign w:val="superscript"/>
        </w:rPr>
        <w:t>(</w:t>
      </w:r>
      <w:hyperlink w:anchor="_ENREF_26" w:tooltip="Doherty, 1999 #209" w:history="1">
        <w:r w:rsidR="00FC54EA" w:rsidRPr="00FC54EA">
          <w:rPr>
            <w:rFonts w:ascii="Times New Roman" w:hAnsi="Times New Roman" w:cs="Times New Roman"/>
            <w:noProof/>
            <w:vertAlign w:val="superscript"/>
          </w:rPr>
          <w:t>26</w:t>
        </w:r>
      </w:hyperlink>
      <w:r w:rsidR="00FC54EA" w:rsidRPr="00FC54EA">
        <w:rPr>
          <w:rFonts w:ascii="Times New Roman" w:hAnsi="Times New Roman" w:cs="Times New Roman"/>
          <w:noProof/>
          <w:vertAlign w:val="superscript"/>
        </w:rPr>
        <w:t>)</w:t>
      </w:r>
      <w:r w:rsidR="007A3FCF">
        <w:rPr>
          <w:rFonts w:ascii="Times New Roman" w:hAnsi="Times New Roman" w:cs="Times New Roman"/>
        </w:rPr>
        <w:fldChar w:fldCharType="end"/>
      </w:r>
    </w:p>
    <w:p w:rsidR="00656459" w:rsidRPr="00FF7A07" w:rsidRDefault="00656459" w:rsidP="00656459">
      <w:pPr>
        <w:rPr>
          <w:rFonts w:ascii="Times New Roman" w:hAnsi="Times New Roman" w:cs="Times New Roman"/>
        </w:rPr>
      </w:pPr>
      <w:r w:rsidRPr="00FF7A07">
        <w:rPr>
          <w:rFonts w:ascii="Times New Roman" w:hAnsi="Times New Roman" w:cs="Times New Roman"/>
          <w:sz w:val="28"/>
          <w:szCs w:val="28"/>
          <w:vertAlign w:val="superscript"/>
        </w:rPr>
        <w:t>c</w:t>
      </w:r>
      <w:r>
        <w:rPr>
          <w:rFonts w:ascii="Times New Roman" w:hAnsi="Times New Roman" w:cs="Times New Roman"/>
        </w:rPr>
        <w:t>From calculations by Dow authors from total TCP metabolite excretion up to 168 hours after dosing, adjusted by us for the individual amounts of TCP likely to remain in the body at 168 hours.</w:t>
      </w:r>
    </w:p>
    <w:p w:rsidR="00367AFE" w:rsidRDefault="00367AFE" w:rsidP="00367AFE">
      <w:pPr>
        <w:pStyle w:val="Body"/>
      </w:pPr>
    </w:p>
    <w:p w:rsidR="00656459" w:rsidRDefault="00656459" w:rsidP="000046F2">
      <w:pPr>
        <w:pStyle w:val="Body"/>
        <w:pBdr>
          <w:bottom w:val="single" w:sz="24" w:space="1" w:color="auto"/>
        </w:pBdr>
        <w:jc w:val="center"/>
        <w:rPr>
          <w:b/>
        </w:rPr>
        <w:sectPr w:rsidR="00656459" w:rsidSect="00656459">
          <w:pgSz w:w="12480" w:h="16160"/>
          <w:pgMar w:top="1440" w:right="1440" w:bottom="1440" w:left="1440" w:header="720" w:footer="720" w:gutter="0"/>
          <w:cols w:space="720"/>
          <w:titlePg/>
        </w:sectPr>
      </w:pPr>
    </w:p>
    <w:p w:rsidR="000F48A2" w:rsidRPr="000821BB" w:rsidRDefault="000F48A2" w:rsidP="000F48A2">
      <w:pPr>
        <w:pBdr>
          <w:bottom w:val="single" w:sz="24" w:space="1" w:color="auto"/>
        </w:pBdr>
        <w:jc w:val="center"/>
        <w:rPr>
          <w:rFonts w:ascii="Times New Roman" w:hAnsi="Times New Roman"/>
        </w:rPr>
      </w:pPr>
      <w:r>
        <w:rPr>
          <w:b/>
        </w:rPr>
        <w:lastRenderedPageBreak/>
        <w:t xml:space="preserve">Table </w:t>
      </w:r>
      <w:r w:rsidR="00656459">
        <w:rPr>
          <w:b/>
        </w:rPr>
        <w:t>V</w:t>
      </w:r>
      <w:r>
        <w:rPr>
          <w:b/>
        </w:rPr>
        <w:t>II</w:t>
      </w:r>
      <w:r>
        <w:rPr>
          <w:rFonts w:ascii="Times New Roman" w:hAnsi="Times New Roman"/>
        </w:rPr>
        <w:t xml:space="preserve">. </w:t>
      </w:r>
      <w:r w:rsidRPr="000821BB">
        <w:t>Comparisons of Classical Pharmacokinetic Parameters for Selected Drugs Between Pregnant and Nonpregnant Women</w:t>
      </w:r>
    </w:p>
    <w:p w:rsidR="000F48A2" w:rsidRPr="000821BB" w:rsidRDefault="000F48A2" w:rsidP="000F48A2">
      <w:pPr>
        <w:spacing w:before="240"/>
      </w:pPr>
      <w:r w:rsidRPr="000821BB">
        <w:t xml:space="preserve">                             Elimination Half-Life (minutes)</w:t>
      </w:r>
      <w:r w:rsidRPr="000821BB">
        <w:tab/>
        <w:t xml:space="preserve">      Volume of Distribution (Liters)              Total Clearance (ml/minute)</w:t>
      </w:r>
    </w:p>
    <w:tbl>
      <w:tblPr>
        <w:tblW w:w="12796" w:type="dxa"/>
        <w:tblCellMar>
          <w:left w:w="0" w:type="dxa"/>
          <w:right w:w="0" w:type="dxa"/>
        </w:tblCellMar>
        <w:tblLook w:val="0000"/>
      </w:tblPr>
      <w:tblGrid>
        <w:gridCol w:w="1637"/>
        <w:gridCol w:w="900"/>
        <w:gridCol w:w="1165"/>
        <w:gridCol w:w="1620"/>
        <w:gridCol w:w="900"/>
        <w:gridCol w:w="1247"/>
        <w:gridCol w:w="1578"/>
        <w:gridCol w:w="1061"/>
        <w:gridCol w:w="1133"/>
        <w:gridCol w:w="1555"/>
      </w:tblGrid>
      <w:tr w:rsidR="000F48A2" w:rsidTr="000F48A2">
        <w:trPr>
          <w:trHeight w:val="20"/>
        </w:trPr>
        <w:tc>
          <w:tcPr>
            <w:tcW w:w="1636" w:type="dxa"/>
            <w:tcBorders>
              <w:bottom w:val="single" w:sz="6" w:space="0" w:color="auto"/>
            </w:tcBorders>
            <w:tcMar>
              <w:top w:w="16" w:type="dxa"/>
              <w:left w:w="16" w:type="dxa"/>
              <w:bottom w:w="0" w:type="dxa"/>
              <w:right w:w="16" w:type="dxa"/>
            </w:tcMar>
            <w:vAlign w:val="bottom"/>
          </w:tcPr>
          <w:p w:rsidR="000F48A2" w:rsidRDefault="000F48A2" w:rsidP="000F48A2">
            <w:pPr>
              <w:rPr>
                <w:sz w:val="20"/>
              </w:rPr>
            </w:pPr>
            <w:r>
              <w:rPr>
                <w:sz w:val="20"/>
              </w:rPr>
              <w:t>Drug</w:t>
            </w:r>
          </w:p>
        </w:tc>
        <w:tc>
          <w:tcPr>
            <w:tcW w:w="900" w:type="dxa"/>
            <w:tcBorders>
              <w:bottom w:val="single" w:sz="6" w:space="0" w:color="auto"/>
            </w:tcBorders>
            <w:tcMar>
              <w:top w:w="16" w:type="dxa"/>
              <w:left w:w="16" w:type="dxa"/>
              <w:bottom w:w="0" w:type="dxa"/>
              <w:right w:w="16" w:type="dxa"/>
            </w:tcMar>
            <w:vAlign w:val="bottom"/>
          </w:tcPr>
          <w:p w:rsidR="000F48A2" w:rsidRDefault="000F48A2" w:rsidP="000F48A2">
            <w:pPr>
              <w:jc w:val="center"/>
              <w:rPr>
                <w:sz w:val="20"/>
              </w:rPr>
            </w:pPr>
            <w:r>
              <w:rPr>
                <w:sz w:val="20"/>
              </w:rPr>
              <w:t>Pregnant</w:t>
            </w:r>
          </w:p>
        </w:tc>
        <w:tc>
          <w:tcPr>
            <w:tcW w:w="1080" w:type="dxa"/>
            <w:tcBorders>
              <w:bottom w:val="single" w:sz="6" w:space="0" w:color="auto"/>
            </w:tcBorders>
            <w:tcMar>
              <w:top w:w="16" w:type="dxa"/>
              <w:left w:w="16" w:type="dxa"/>
              <w:bottom w:w="0" w:type="dxa"/>
              <w:right w:w="16" w:type="dxa"/>
            </w:tcMar>
            <w:vAlign w:val="bottom"/>
          </w:tcPr>
          <w:p w:rsidR="000F48A2" w:rsidRDefault="000F48A2" w:rsidP="000F48A2">
            <w:pPr>
              <w:jc w:val="center"/>
              <w:rPr>
                <w:sz w:val="20"/>
              </w:rPr>
            </w:pPr>
            <w:r>
              <w:rPr>
                <w:sz w:val="20"/>
              </w:rPr>
              <w:t>Nonpregnant</w:t>
            </w:r>
          </w:p>
        </w:tc>
        <w:tc>
          <w:tcPr>
            <w:tcW w:w="1620" w:type="dxa"/>
            <w:tcBorders>
              <w:bottom w:val="single" w:sz="6" w:space="0" w:color="auto"/>
            </w:tcBorders>
            <w:tcMar>
              <w:top w:w="16" w:type="dxa"/>
              <w:left w:w="16" w:type="dxa"/>
              <w:bottom w:w="0" w:type="dxa"/>
              <w:right w:w="16" w:type="dxa"/>
            </w:tcMar>
            <w:vAlign w:val="bottom"/>
          </w:tcPr>
          <w:p w:rsidR="000F48A2" w:rsidRDefault="000F48A2" w:rsidP="000F48A2">
            <w:pPr>
              <w:jc w:val="center"/>
              <w:rPr>
                <w:sz w:val="20"/>
              </w:rPr>
            </w:pPr>
            <w:r>
              <w:rPr>
                <w:sz w:val="20"/>
              </w:rPr>
              <w:t>Preg/nonpreg ratio</w:t>
            </w:r>
          </w:p>
        </w:tc>
        <w:tc>
          <w:tcPr>
            <w:tcW w:w="900" w:type="dxa"/>
            <w:tcBorders>
              <w:bottom w:val="single" w:sz="6" w:space="0" w:color="auto"/>
            </w:tcBorders>
            <w:tcMar>
              <w:top w:w="16" w:type="dxa"/>
              <w:left w:w="16" w:type="dxa"/>
              <w:bottom w:w="0" w:type="dxa"/>
              <w:right w:w="16" w:type="dxa"/>
            </w:tcMar>
            <w:vAlign w:val="bottom"/>
          </w:tcPr>
          <w:p w:rsidR="000F48A2" w:rsidRDefault="000F48A2" w:rsidP="000F48A2">
            <w:pPr>
              <w:jc w:val="center"/>
              <w:rPr>
                <w:sz w:val="20"/>
              </w:rPr>
            </w:pPr>
            <w:r>
              <w:rPr>
                <w:sz w:val="20"/>
              </w:rPr>
              <w:t>Pregnant</w:t>
            </w:r>
          </w:p>
        </w:tc>
        <w:tc>
          <w:tcPr>
            <w:tcW w:w="1260" w:type="dxa"/>
            <w:tcBorders>
              <w:bottom w:val="single" w:sz="6" w:space="0" w:color="auto"/>
            </w:tcBorders>
            <w:vAlign w:val="bottom"/>
          </w:tcPr>
          <w:p w:rsidR="000F48A2" w:rsidRDefault="000F48A2" w:rsidP="000F48A2">
            <w:pPr>
              <w:jc w:val="center"/>
              <w:rPr>
                <w:sz w:val="20"/>
              </w:rPr>
            </w:pPr>
            <w:r>
              <w:rPr>
                <w:sz w:val="20"/>
              </w:rPr>
              <w:t>Nonpregnant</w:t>
            </w:r>
          </w:p>
        </w:tc>
        <w:tc>
          <w:tcPr>
            <w:tcW w:w="1620" w:type="dxa"/>
            <w:tcBorders>
              <w:bottom w:val="single" w:sz="6" w:space="0" w:color="auto"/>
            </w:tcBorders>
            <w:vAlign w:val="bottom"/>
          </w:tcPr>
          <w:p w:rsidR="000F48A2" w:rsidRDefault="000F48A2" w:rsidP="000F48A2">
            <w:pPr>
              <w:jc w:val="center"/>
              <w:rPr>
                <w:sz w:val="20"/>
              </w:rPr>
            </w:pPr>
            <w:r>
              <w:rPr>
                <w:sz w:val="20"/>
              </w:rPr>
              <w:t>Preg/nonpreg ratio</w:t>
            </w:r>
          </w:p>
        </w:tc>
        <w:tc>
          <w:tcPr>
            <w:tcW w:w="1093" w:type="dxa"/>
            <w:tcBorders>
              <w:bottom w:val="single" w:sz="6" w:space="0" w:color="auto"/>
            </w:tcBorders>
            <w:vAlign w:val="bottom"/>
          </w:tcPr>
          <w:p w:rsidR="000F48A2" w:rsidRDefault="000F48A2" w:rsidP="000F48A2">
            <w:pPr>
              <w:jc w:val="center"/>
              <w:rPr>
                <w:sz w:val="20"/>
              </w:rPr>
            </w:pPr>
            <w:r>
              <w:rPr>
                <w:sz w:val="20"/>
              </w:rPr>
              <w:t>Pregnant</w:t>
            </w:r>
          </w:p>
        </w:tc>
        <w:tc>
          <w:tcPr>
            <w:tcW w:w="1093" w:type="dxa"/>
            <w:tcBorders>
              <w:bottom w:val="single" w:sz="6" w:space="0" w:color="auto"/>
            </w:tcBorders>
            <w:vAlign w:val="bottom"/>
          </w:tcPr>
          <w:p w:rsidR="000F48A2" w:rsidRDefault="000F48A2" w:rsidP="000F48A2">
            <w:pPr>
              <w:jc w:val="center"/>
              <w:rPr>
                <w:sz w:val="20"/>
              </w:rPr>
            </w:pPr>
            <w:r>
              <w:rPr>
                <w:sz w:val="20"/>
              </w:rPr>
              <w:t>Nonpregnant</w:t>
            </w:r>
          </w:p>
        </w:tc>
        <w:tc>
          <w:tcPr>
            <w:tcW w:w="1594" w:type="dxa"/>
            <w:tcBorders>
              <w:bottom w:val="single" w:sz="6" w:space="0" w:color="auto"/>
            </w:tcBorders>
            <w:vAlign w:val="bottom"/>
          </w:tcPr>
          <w:p w:rsidR="000F48A2" w:rsidRDefault="000F48A2" w:rsidP="000F48A2">
            <w:pPr>
              <w:jc w:val="center"/>
              <w:rPr>
                <w:sz w:val="20"/>
              </w:rPr>
            </w:pPr>
            <w:r>
              <w:rPr>
                <w:sz w:val="20"/>
              </w:rPr>
              <w:t>Preg/nonpreg ratio</w:t>
            </w:r>
          </w:p>
        </w:tc>
      </w:tr>
      <w:tr w:rsidR="000F48A2" w:rsidTr="000F48A2">
        <w:trPr>
          <w:trHeight w:val="20"/>
        </w:trPr>
        <w:tc>
          <w:tcPr>
            <w:tcW w:w="1636" w:type="dxa"/>
            <w:tcBorders>
              <w:top w:val="single" w:sz="6" w:space="0" w:color="auto"/>
            </w:tcBorders>
            <w:noWrap/>
            <w:tcMar>
              <w:top w:w="16" w:type="dxa"/>
              <w:left w:w="16" w:type="dxa"/>
              <w:bottom w:w="0" w:type="dxa"/>
              <w:right w:w="16" w:type="dxa"/>
            </w:tcMar>
            <w:vAlign w:val="bottom"/>
          </w:tcPr>
          <w:p w:rsidR="000F48A2" w:rsidRDefault="000F48A2" w:rsidP="000F48A2">
            <w:pPr>
              <w:rPr>
                <w:sz w:val="20"/>
              </w:rPr>
            </w:pPr>
            <w:r>
              <w:rPr>
                <w:sz w:val="20"/>
              </w:rPr>
              <w:t>Ampicillin</w:t>
            </w:r>
          </w:p>
        </w:tc>
        <w:tc>
          <w:tcPr>
            <w:tcW w:w="900" w:type="dxa"/>
            <w:tcBorders>
              <w:top w:val="single" w:sz="6" w:space="0" w:color="auto"/>
            </w:tcBorders>
            <w:noWrap/>
            <w:tcMar>
              <w:top w:w="16" w:type="dxa"/>
              <w:left w:w="16" w:type="dxa"/>
              <w:bottom w:w="0" w:type="dxa"/>
              <w:right w:w="16" w:type="dxa"/>
            </w:tcMar>
            <w:vAlign w:val="bottom"/>
          </w:tcPr>
          <w:p w:rsidR="000F48A2" w:rsidRDefault="000F48A2" w:rsidP="000F48A2">
            <w:pPr>
              <w:jc w:val="center"/>
              <w:rPr>
                <w:sz w:val="20"/>
              </w:rPr>
            </w:pPr>
            <w:r>
              <w:rPr>
                <w:sz w:val="20"/>
              </w:rPr>
              <w:t>52.4</w:t>
            </w:r>
          </w:p>
        </w:tc>
        <w:tc>
          <w:tcPr>
            <w:tcW w:w="1080" w:type="dxa"/>
            <w:tcBorders>
              <w:top w:val="single" w:sz="6" w:space="0" w:color="auto"/>
            </w:tcBorders>
            <w:noWrap/>
            <w:tcMar>
              <w:top w:w="16" w:type="dxa"/>
              <w:left w:w="16" w:type="dxa"/>
              <w:bottom w:w="0" w:type="dxa"/>
              <w:right w:w="16" w:type="dxa"/>
            </w:tcMar>
            <w:vAlign w:val="bottom"/>
          </w:tcPr>
          <w:p w:rsidR="000F48A2" w:rsidRDefault="000F48A2" w:rsidP="000F48A2">
            <w:pPr>
              <w:jc w:val="center"/>
              <w:rPr>
                <w:sz w:val="20"/>
              </w:rPr>
            </w:pPr>
            <w:r>
              <w:rPr>
                <w:sz w:val="20"/>
              </w:rPr>
              <w:t>69.6</w:t>
            </w:r>
          </w:p>
        </w:tc>
        <w:tc>
          <w:tcPr>
            <w:tcW w:w="1620" w:type="dxa"/>
            <w:tcBorders>
              <w:top w:val="single" w:sz="6" w:space="0" w:color="auto"/>
            </w:tcBorders>
            <w:noWrap/>
            <w:tcMar>
              <w:top w:w="16" w:type="dxa"/>
              <w:left w:w="16" w:type="dxa"/>
              <w:bottom w:w="0" w:type="dxa"/>
              <w:right w:w="16" w:type="dxa"/>
            </w:tcMar>
            <w:vAlign w:val="bottom"/>
          </w:tcPr>
          <w:p w:rsidR="000F48A2" w:rsidRDefault="000F48A2" w:rsidP="000F48A2">
            <w:pPr>
              <w:jc w:val="center"/>
              <w:rPr>
                <w:sz w:val="20"/>
              </w:rPr>
            </w:pPr>
            <w:r>
              <w:rPr>
                <w:sz w:val="20"/>
              </w:rPr>
              <w:t>0.753</w:t>
            </w:r>
          </w:p>
        </w:tc>
        <w:tc>
          <w:tcPr>
            <w:tcW w:w="900" w:type="dxa"/>
            <w:tcBorders>
              <w:top w:val="single" w:sz="6" w:space="0" w:color="auto"/>
            </w:tcBorders>
            <w:noWrap/>
            <w:tcMar>
              <w:top w:w="16" w:type="dxa"/>
              <w:left w:w="16" w:type="dxa"/>
              <w:bottom w:w="0" w:type="dxa"/>
              <w:right w:w="16" w:type="dxa"/>
            </w:tcMar>
            <w:vAlign w:val="bottom"/>
          </w:tcPr>
          <w:p w:rsidR="000F48A2" w:rsidRDefault="000F48A2" w:rsidP="000F48A2">
            <w:pPr>
              <w:jc w:val="center"/>
              <w:rPr>
                <w:sz w:val="20"/>
              </w:rPr>
            </w:pPr>
            <w:r>
              <w:rPr>
                <w:sz w:val="20"/>
              </w:rPr>
              <w:t>32.8</w:t>
            </w:r>
          </w:p>
        </w:tc>
        <w:tc>
          <w:tcPr>
            <w:tcW w:w="1260" w:type="dxa"/>
            <w:tcBorders>
              <w:top w:val="single" w:sz="6" w:space="0" w:color="auto"/>
            </w:tcBorders>
            <w:vAlign w:val="bottom"/>
          </w:tcPr>
          <w:p w:rsidR="000F48A2" w:rsidRDefault="000F48A2" w:rsidP="000F48A2">
            <w:pPr>
              <w:jc w:val="center"/>
              <w:rPr>
                <w:sz w:val="20"/>
              </w:rPr>
            </w:pPr>
            <w:r>
              <w:rPr>
                <w:sz w:val="20"/>
              </w:rPr>
              <w:t>34.5</w:t>
            </w:r>
          </w:p>
        </w:tc>
        <w:tc>
          <w:tcPr>
            <w:tcW w:w="1620" w:type="dxa"/>
            <w:tcBorders>
              <w:top w:val="single" w:sz="6" w:space="0" w:color="auto"/>
            </w:tcBorders>
            <w:vAlign w:val="bottom"/>
          </w:tcPr>
          <w:p w:rsidR="000F48A2" w:rsidRDefault="000F48A2" w:rsidP="000F48A2">
            <w:pPr>
              <w:jc w:val="center"/>
              <w:rPr>
                <w:sz w:val="20"/>
              </w:rPr>
            </w:pPr>
            <w:r>
              <w:rPr>
                <w:sz w:val="20"/>
              </w:rPr>
              <w:t>0.951</w:t>
            </w:r>
          </w:p>
        </w:tc>
        <w:tc>
          <w:tcPr>
            <w:tcW w:w="1093" w:type="dxa"/>
            <w:tcBorders>
              <w:top w:val="single" w:sz="6" w:space="0" w:color="auto"/>
            </w:tcBorders>
            <w:vAlign w:val="bottom"/>
          </w:tcPr>
          <w:p w:rsidR="000F48A2" w:rsidRDefault="000F48A2" w:rsidP="000F48A2">
            <w:pPr>
              <w:jc w:val="center"/>
              <w:rPr>
                <w:sz w:val="20"/>
              </w:rPr>
            </w:pPr>
            <w:r>
              <w:rPr>
                <w:sz w:val="20"/>
              </w:rPr>
              <w:t>450</w:t>
            </w:r>
          </w:p>
        </w:tc>
        <w:tc>
          <w:tcPr>
            <w:tcW w:w="1093" w:type="dxa"/>
            <w:tcBorders>
              <w:top w:val="single" w:sz="6" w:space="0" w:color="auto"/>
            </w:tcBorders>
            <w:vAlign w:val="bottom"/>
          </w:tcPr>
          <w:p w:rsidR="000F48A2" w:rsidRDefault="000F48A2" w:rsidP="000F48A2">
            <w:pPr>
              <w:jc w:val="center"/>
              <w:rPr>
                <w:sz w:val="20"/>
              </w:rPr>
            </w:pPr>
            <w:r>
              <w:rPr>
                <w:sz w:val="20"/>
              </w:rPr>
              <w:t>370</w:t>
            </w:r>
          </w:p>
        </w:tc>
        <w:tc>
          <w:tcPr>
            <w:tcW w:w="1594" w:type="dxa"/>
            <w:tcBorders>
              <w:top w:val="single" w:sz="6" w:space="0" w:color="auto"/>
            </w:tcBorders>
            <w:vAlign w:val="bottom"/>
          </w:tcPr>
          <w:p w:rsidR="000F48A2" w:rsidRDefault="000F48A2" w:rsidP="000F48A2">
            <w:pPr>
              <w:jc w:val="center"/>
              <w:rPr>
                <w:sz w:val="20"/>
              </w:rPr>
            </w:pPr>
            <w:r>
              <w:rPr>
                <w:sz w:val="20"/>
              </w:rPr>
              <w:t>1.216</w:t>
            </w:r>
          </w:p>
        </w:tc>
      </w:tr>
      <w:tr w:rsidR="000F48A2" w:rsidTr="000F48A2">
        <w:trPr>
          <w:trHeight w:val="20"/>
        </w:trPr>
        <w:tc>
          <w:tcPr>
            <w:tcW w:w="1636" w:type="dxa"/>
            <w:noWrap/>
            <w:tcMar>
              <w:top w:w="16" w:type="dxa"/>
              <w:left w:w="16" w:type="dxa"/>
              <w:bottom w:w="0" w:type="dxa"/>
              <w:right w:w="16" w:type="dxa"/>
            </w:tcMar>
            <w:vAlign w:val="bottom"/>
          </w:tcPr>
          <w:p w:rsidR="000F48A2" w:rsidRDefault="000F48A2" w:rsidP="000F48A2">
            <w:pPr>
              <w:rPr>
                <w:sz w:val="20"/>
              </w:rPr>
            </w:pPr>
            <w:r>
              <w:rPr>
                <w:sz w:val="20"/>
              </w:rPr>
              <w:t>Cefuroxime</w:t>
            </w:r>
          </w:p>
        </w:tc>
        <w:tc>
          <w:tcPr>
            <w:tcW w:w="900" w:type="dxa"/>
            <w:noWrap/>
            <w:tcMar>
              <w:top w:w="16" w:type="dxa"/>
              <w:left w:w="16" w:type="dxa"/>
              <w:bottom w:w="0" w:type="dxa"/>
              <w:right w:w="16" w:type="dxa"/>
            </w:tcMar>
            <w:vAlign w:val="bottom"/>
          </w:tcPr>
          <w:p w:rsidR="000F48A2" w:rsidRDefault="000F48A2" w:rsidP="000F48A2">
            <w:pPr>
              <w:jc w:val="center"/>
              <w:rPr>
                <w:sz w:val="20"/>
              </w:rPr>
            </w:pPr>
            <w:r>
              <w:rPr>
                <w:sz w:val="20"/>
              </w:rPr>
              <w:t>44</w:t>
            </w:r>
          </w:p>
        </w:tc>
        <w:tc>
          <w:tcPr>
            <w:tcW w:w="1080" w:type="dxa"/>
            <w:noWrap/>
            <w:tcMar>
              <w:top w:w="16" w:type="dxa"/>
              <w:left w:w="16" w:type="dxa"/>
              <w:bottom w:w="0" w:type="dxa"/>
              <w:right w:w="16" w:type="dxa"/>
            </w:tcMar>
            <w:vAlign w:val="bottom"/>
          </w:tcPr>
          <w:p w:rsidR="000F48A2" w:rsidRDefault="000F48A2" w:rsidP="000F48A2">
            <w:pPr>
              <w:jc w:val="center"/>
              <w:rPr>
                <w:sz w:val="20"/>
              </w:rPr>
            </w:pPr>
            <w:r>
              <w:rPr>
                <w:sz w:val="20"/>
              </w:rPr>
              <w:t>58</w:t>
            </w:r>
          </w:p>
        </w:tc>
        <w:tc>
          <w:tcPr>
            <w:tcW w:w="1620" w:type="dxa"/>
            <w:noWrap/>
            <w:tcMar>
              <w:top w:w="16" w:type="dxa"/>
              <w:left w:w="16" w:type="dxa"/>
              <w:bottom w:w="0" w:type="dxa"/>
              <w:right w:w="16" w:type="dxa"/>
            </w:tcMar>
            <w:vAlign w:val="bottom"/>
          </w:tcPr>
          <w:p w:rsidR="000F48A2" w:rsidRDefault="000F48A2" w:rsidP="000F48A2">
            <w:pPr>
              <w:jc w:val="center"/>
              <w:rPr>
                <w:sz w:val="20"/>
              </w:rPr>
            </w:pPr>
            <w:r>
              <w:rPr>
                <w:sz w:val="20"/>
              </w:rPr>
              <w:t>0.759</w:t>
            </w:r>
          </w:p>
        </w:tc>
        <w:tc>
          <w:tcPr>
            <w:tcW w:w="900" w:type="dxa"/>
            <w:noWrap/>
            <w:tcMar>
              <w:top w:w="16" w:type="dxa"/>
              <w:left w:w="16" w:type="dxa"/>
              <w:bottom w:w="0" w:type="dxa"/>
              <w:right w:w="16" w:type="dxa"/>
            </w:tcMar>
            <w:vAlign w:val="bottom"/>
          </w:tcPr>
          <w:p w:rsidR="000F48A2" w:rsidRDefault="000F48A2" w:rsidP="000F48A2">
            <w:pPr>
              <w:jc w:val="center"/>
              <w:rPr>
                <w:sz w:val="20"/>
              </w:rPr>
            </w:pPr>
            <w:r>
              <w:rPr>
                <w:sz w:val="20"/>
              </w:rPr>
              <w:t>17.8</w:t>
            </w:r>
          </w:p>
        </w:tc>
        <w:tc>
          <w:tcPr>
            <w:tcW w:w="1260" w:type="dxa"/>
            <w:vAlign w:val="bottom"/>
          </w:tcPr>
          <w:p w:rsidR="000F48A2" w:rsidRDefault="000F48A2" w:rsidP="000F48A2">
            <w:pPr>
              <w:jc w:val="center"/>
              <w:rPr>
                <w:sz w:val="20"/>
              </w:rPr>
            </w:pPr>
            <w:r>
              <w:rPr>
                <w:sz w:val="20"/>
              </w:rPr>
              <w:t>16.3</w:t>
            </w:r>
          </w:p>
        </w:tc>
        <w:tc>
          <w:tcPr>
            <w:tcW w:w="1620" w:type="dxa"/>
            <w:vAlign w:val="bottom"/>
          </w:tcPr>
          <w:p w:rsidR="000F48A2" w:rsidRDefault="000F48A2" w:rsidP="000F48A2">
            <w:pPr>
              <w:jc w:val="center"/>
              <w:rPr>
                <w:sz w:val="20"/>
              </w:rPr>
            </w:pPr>
            <w:r>
              <w:rPr>
                <w:sz w:val="20"/>
              </w:rPr>
              <w:t>1.092</w:t>
            </w:r>
          </w:p>
        </w:tc>
        <w:tc>
          <w:tcPr>
            <w:tcW w:w="1093" w:type="dxa"/>
            <w:vAlign w:val="bottom"/>
          </w:tcPr>
          <w:p w:rsidR="000F48A2" w:rsidRDefault="000F48A2" w:rsidP="000F48A2">
            <w:pPr>
              <w:jc w:val="center"/>
              <w:rPr>
                <w:sz w:val="20"/>
              </w:rPr>
            </w:pPr>
            <w:r>
              <w:rPr>
                <w:sz w:val="20"/>
              </w:rPr>
              <w:t>282</w:t>
            </w:r>
          </w:p>
        </w:tc>
        <w:tc>
          <w:tcPr>
            <w:tcW w:w="1093" w:type="dxa"/>
            <w:vAlign w:val="bottom"/>
          </w:tcPr>
          <w:p w:rsidR="000F48A2" w:rsidRDefault="000F48A2" w:rsidP="000F48A2">
            <w:pPr>
              <w:jc w:val="center"/>
              <w:rPr>
                <w:sz w:val="20"/>
              </w:rPr>
            </w:pPr>
            <w:r>
              <w:rPr>
                <w:sz w:val="20"/>
              </w:rPr>
              <w:t>198</w:t>
            </w:r>
          </w:p>
        </w:tc>
        <w:tc>
          <w:tcPr>
            <w:tcW w:w="1594" w:type="dxa"/>
            <w:vAlign w:val="bottom"/>
          </w:tcPr>
          <w:p w:rsidR="000F48A2" w:rsidRDefault="000F48A2" w:rsidP="000F48A2">
            <w:pPr>
              <w:jc w:val="center"/>
              <w:rPr>
                <w:sz w:val="20"/>
              </w:rPr>
            </w:pPr>
            <w:r>
              <w:rPr>
                <w:sz w:val="20"/>
              </w:rPr>
              <w:t>1.424</w:t>
            </w:r>
          </w:p>
        </w:tc>
      </w:tr>
      <w:tr w:rsidR="000F48A2" w:rsidTr="000F48A2">
        <w:trPr>
          <w:trHeight w:val="20"/>
        </w:trPr>
        <w:tc>
          <w:tcPr>
            <w:tcW w:w="1636" w:type="dxa"/>
            <w:noWrap/>
            <w:tcMar>
              <w:top w:w="16" w:type="dxa"/>
              <w:left w:w="16" w:type="dxa"/>
              <w:bottom w:w="0" w:type="dxa"/>
              <w:right w:w="16" w:type="dxa"/>
            </w:tcMar>
            <w:vAlign w:val="bottom"/>
          </w:tcPr>
          <w:p w:rsidR="000F48A2" w:rsidRDefault="000F48A2" w:rsidP="000F48A2">
            <w:pPr>
              <w:rPr>
                <w:sz w:val="20"/>
              </w:rPr>
            </w:pPr>
            <w:r>
              <w:rPr>
                <w:sz w:val="20"/>
              </w:rPr>
              <w:t>Imipenem</w:t>
            </w:r>
          </w:p>
        </w:tc>
        <w:tc>
          <w:tcPr>
            <w:tcW w:w="900" w:type="dxa"/>
            <w:noWrap/>
            <w:tcMar>
              <w:top w:w="16" w:type="dxa"/>
              <w:left w:w="16" w:type="dxa"/>
              <w:bottom w:w="0" w:type="dxa"/>
              <w:right w:w="16" w:type="dxa"/>
            </w:tcMar>
            <w:vAlign w:val="bottom"/>
          </w:tcPr>
          <w:p w:rsidR="000F48A2" w:rsidRDefault="000F48A2" w:rsidP="000F48A2">
            <w:pPr>
              <w:jc w:val="center"/>
              <w:rPr>
                <w:sz w:val="20"/>
              </w:rPr>
            </w:pPr>
            <w:r>
              <w:rPr>
                <w:sz w:val="20"/>
              </w:rPr>
              <w:t>36</w:t>
            </w:r>
          </w:p>
        </w:tc>
        <w:tc>
          <w:tcPr>
            <w:tcW w:w="1080" w:type="dxa"/>
            <w:noWrap/>
            <w:tcMar>
              <w:top w:w="16" w:type="dxa"/>
              <w:left w:w="16" w:type="dxa"/>
              <w:bottom w:w="0" w:type="dxa"/>
              <w:right w:w="16" w:type="dxa"/>
            </w:tcMar>
            <w:vAlign w:val="bottom"/>
          </w:tcPr>
          <w:p w:rsidR="000F48A2" w:rsidRDefault="000F48A2" w:rsidP="000F48A2">
            <w:pPr>
              <w:jc w:val="center"/>
              <w:rPr>
                <w:sz w:val="20"/>
              </w:rPr>
            </w:pPr>
            <w:r>
              <w:rPr>
                <w:sz w:val="20"/>
              </w:rPr>
              <w:t>41</w:t>
            </w:r>
          </w:p>
        </w:tc>
        <w:tc>
          <w:tcPr>
            <w:tcW w:w="1620" w:type="dxa"/>
            <w:noWrap/>
            <w:tcMar>
              <w:top w:w="16" w:type="dxa"/>
              <w:left w:w="16" w:type="dxa"/>
              <w:bottom w:w="0" w:type="dxa"/>
              <w:right w:w="16" w:type="dxa"/>
            </w:tcMar>
            <w:vAlign w:val="bottom"/>
          </w:tcPr>
          <w:p w:rsidR="000F48A2" w:rsidRDefault="000F48A2" w:rsidP="000F48A2">
            <w:pPr>
              <w:jc w:val="center"/>
              <w:rPr>
                <w:sz w:val="20"/>
              </w:rPr>
            </w:pPr>
            <w:r>
              <w:rPr>
                <w:sz w:val="20"/>
              </w:rPr>
              <w:t>0.878</w:t>
            </w:r>
          </w:p>
        </w:tc>
        <w:tc>
          <w:tcPr>
            <w:tcW w:w="900" w:type="dxa"/>
            <w:noWrap/>
            <w:tcMar>
              <w:top w:w="16" w:type="dxa"/>
              <w:left w:w="16" w:type="dxa"/>
              <w:bottom w:w="0" w:type="dxa"/>
              <w:right w:w="16" w:type="dxa"/>
            </w:tcMar>
            <w:vAlign w:val="bottom"/>
          </w:tcPr>
          <w:p w:rsidR="000F48A2" w:rsidRDefault="000F48A2" w:rsidP="000F48A2">
            <w:pPr>
              <w:jc w:val="center"/>
              <w:rPr>
                <w:sz w:val="20"/>
              </w:rPr>
            </w:pPr>
            <w:r>
              <w:rPr>
                <w:sz w:val="20"/>
              </w:rPr>
              <w:t>47.1</w:t>
            </w:r>
          </w:p>
        </w:tc>
        <w:tc>
          <w:tcPr>
            <w:tcW w:w="1260" w:type="dxa"/>
            <w:vAlign w:val="bottom"/>
          </w:tcPr>
          <w:p w:rsidR="000F48A2" w:rsidRDefault="000F48A2" w:rsidP="000F48A2">
            <w:pPr>
              <w:jc w:val="center"/>
              <w:rPr>
                <w:sz w:val="20"/>
              </w:rPr>
            </w:pPr>
            <w:r>
              <w:rPr>
                <w:sz w:val="20"/>
              </w:rPr>
              <w:t>18.9</w:t>
            </w:r>
          </w:p>
        </w:tc>
        <w:tc>
          <w:tcPr>
            <w:tcW w:w="1620" w:type="dxa"/>
            <w:vAlign w:val="bottom"/>
          </w:tcPr>
          <w:p w:rsidR="000F48A2" w:rsidRDefault="000F48A2" w:rsidP="000F48A2">
            <w:pPr>
              <w:jc w:val="center"/>
              <w:rPr>
                <w:sz w:val="20"/>
              </w:rPr>
            </w:pPr>
            <w:r>
              <w:rPr>
                <w:sz w:val="20"/>
              </w:rPr>
              <w:t>2.492</w:t>
            </w:r>
          </w:p>
        </w:tc>
        <w:tc>
          <w:tcPr>
            <w:tcW w:w="1093" w:type="dxa"/>
            <w:vAlign w:val="bottom"/>
          </w:tcPr>
          <w:p w:rsidR="000F48A2" w:rsidRDefault="000F48A2" w:rsidP="000F48A2">
            <w:pPr>
              <w:jc w:val="center"/>
              <w:rPr>
                <w:sz w:val="20"/>
              </w:rPr>
            </w:pPr>
            <w:r>
              <w:rPr>
                <w:sz w:val="20"/>
              </w:rPr>
              <w:t>973</w:t>
            </w:r>
          </w:p>
        </w:tc>
        <w:tc>
          <w:tcPr>
            <w:tcW w:w="1093" w:type="dxa"/>
            <w:vAlign w:val="bottom"/>
          </w:tcPr>
          <w:p w:rsidR="000F48A2" w:rsidRDefault="000F48A2" w:rsidP="000F48A2">
            <w:pPr>
              <w:jc w:val="center"/>
              <w:rPr>
                <w:sz w:val="20"/>
              </w:rPr>
            </w:pPr>
            <w:r>
              <w:rPr>
                <w:sz w:val="20"/>
              </w:rPr>
              <w:t>338</w:t>
            </w:r>
          </w:p>
        </w:tc>
        <w:tc>
          <w:tcPr>
            <w:tcW w:w="1594" w:type="dxa"/>
            <w:vAlign w:val="bottom"/>
          </w:tcPr>
          <w:p w:rsidR="000F48A2" w:rsidRDefault="000F48A2" w:rsidP="000F48A2">
            <w:pPr>
              <w:jc w:val="center"/>
              <w:rPr>
                <w:sz w:val="20"/>
              </w:rPr>
            </w:pPr>
            <w:r>
              <w:rPr>
                <w:sz w:val="20"/>
              </w:rPr>
              <w:t>2.879</w:t>
            </w:r>
          </w:p>
        </w:tc>
      </w:tr>
      <w:tr w:rsidR="000F48A2" w:rsidTr="000F48A2">
        <w:trPr>
          <w:trHeight w:val="20"/>
        </w:trPr>
        <w:tc>
          <w:tcPr>
            <w:tcW w:w="1636" w:type="dxa"/>
            <w:noWrap/>
            <w:tcMar>
              <w:top w:w="16" w:type="dxa"/>
              <w:left w:w="16" w:type="dxa"/>
              <w:bottom w:w="0" w:type="dxa"/>
              <w:right w:w="16" w:type="dxa"/>
            </w:tcMar>
            <w:vAlign w:val="bottom"/>
          </w:tcPr>
          <w:p w:rsidR="000F48A2" w:rsidRDefault="000F48A2" w:rsidP="000F48A2">
            <w:pPr>
              <w:rPr>
                <w:sz w:val="20"/>
              </w:rPr>
            </w:pPr>
            <w:r>
              <w:rPr>
                <w:sz w:val="20"/>
              </w:rPr>
              <w:t>Piperacillin</w:t>
            </w:r>
          </w:p>
        </w:tc>
        <w:tc>
          <w:tcPr>
            <w:tcW w:w="900" w:type="dxa"/>
            <w:noWrap/>
            <w:tcMar>
              <w:top w:w="16" w:type="dxa"/>
              <w:left w:w="16" w:type="dxa"/>
              <w:bottom w:w="0" w:type="dxa"/>
              <w:right w:w="16" w:type="dxa"/>
            </w:tcMar>
            <w:vAlign w:val="bottom"/>
          </w:tcPr>
          <w:p w:rsidR="000F48A2" w:rsidRDefault="000F48A2" w:rsidP="000F48A2">
            <w:pPr>
              <w:jc w:val="center"/>
              <w:rPr>
                <w:sz w:val="20"/>
              </w:rPr>
            </w:pPr>
            <w:r>
              <w:rPr>
                <w:sz w:val="20"/>
              </w:rPr>
              <w:t>46.5</w:t>
            </w:r>
          </w:p>
        </w:tc>
        <w:tc>
          <w:tcPr>
            <w:tcW w:w="1080" w:type="dxa"/>
            <w:noWrap/>
            <w:tcMar>
              <w:top w:w="16" w:type="dxa"/>
              <w:left w:w="16" w:type="dxa"/>
              <w:bottom w:w="0" w:type="dxa"/>
              <w:right w:w="16" w:type="dxa"/>
            </w:tcMar>
            <w:vAlign w:val="bottom"/>
          </w:tcPr>
          <w:p w:rsidR="000F48A2" w:rsidRDefault="000F48A2" w:rsidP="000F48A2">
            <w:pPr>
              <w:jc w:val="center"/>
              <w:rPr>
                <w:sz w:val="20"/>
              </w:rPr>
            </w:pPr>
            <w:r>
              <w:rPr>
                <w:sz w:val="20"/>
              </w:rPr>
              <w:t>53.7</w:t>
            </w:r>
          </w:p>
        </w:tc>
        <w:tc>
          <w:tcPr>
            <w:tcW w:w="1620" w:type="dxa"/>
            <w:noWrap/>
            <w:tcMar>
              <w:top w:w="16" w:type="dxa"/>
              <w:left w:w="16" w:type="dxa"/>
              <w:bottom w:w="0" w:type="dxa"/>
              <w:right w:w="16" w:type="dxa"/>
            </w:tcMar>
            <w:vAlign w:val="bottom"/>
          </w:tcPr>
          <w:p w:rsidR="000F48A2" w:rsidRDefault="000F48A2" w:rsidP="000F48A2">
            <w:pPr>
              <w:jc w:val="center"/>
              <w:rPr>
                <w:sz w:val="20"/>
              </w:rPr>
            </w:pPr>
            <w:r>
              <w:rPr>
                <w:sz w:val="20"/>
              </w:rPr>
              <w:t>0.866</w:t>
            </w:r>
          </w:p>
        </w:tc>
        <w:tc>
          <w:tcPr>
            <w:tcW w:w="900" w:type="dxa"/>
            <w:noWrap/>
            <w:tcMar>
              <w:top w:w="16" w:type="dxa"/>
              <w:left w:w="16" w:type="dxa"/>
              <w:bottom w:w="0" w:type="dxa"/>
              <w:right w:w="16" w:type="dxa"/>
            </w:tcMar>
            <w:vAlign w:val="bottom"/>
          </w:tcPr>
          <w:p w:rsidR="000F48A2" w:rsidRDefault="000F48A2" w:rsidP="000F48A2">
            <w:pPr>
              <w:jc w:val="center"/>
              <w:rPr>
                <w:sz w:val="20"/>
              </w:rPr>
            </w:pPr>
            <w:r>
              <w:rPr>
                <w:sz w:val="20"/>
              </w:rPr>
              <w:t>67.6</w:t>
            </w:r>
          </w:p>
        </w:tc>
        <w:tc>
          <w:tcPr>
            <w:tcW w:w="1260" w:type="dxa"/>
            <w:vAlign w:val="bottom"/>
          </w:tcPr>
          <w:p w:rsidR="000F48A2" w:rsidRDefault="000F48A2" w:rsidP="000F48A2">
            <w:pPr>
              <w:jc w:val="center"/>
              <w:rPr>
                <w:sz w:val="20"/>
              </w:rPr>
            </w:pPr>
            <w:r>
              <w:rPr>
                <w:sz w:val="20"/>
              </w:rPr>
              <w:t>41.9</w:t>
            </w:r>
          </w:p>
        </w:tc>
        <w:tc>
          <w:tcPr>
            <w:tcW w:w="1620" w:type="dxa"/>
            <w:vAlign w:val="bottom"/>
          </w:tcPr>
          <w:p w:rsidR="000F48A2" w:rsidRDefault="000F48A2" w:rsidP="000F48A2">
            <w:pPr>
              <w:jc w:val="center"/>
              <w:rPr>
                <w:sz w:val="20"/>
              </w:rPr>
            </w:pPr>
            <w:r>
              <w:rPr>
                <w:sz w:val="20"/>
              </w:rPr>
              <w:t>1.613</w:t>
            </w:r>
          </w:p>
        </w:tc>
        <w:tc>
          <w:tcPr>
            <w:tcW w:w="1093" w:type="dxa"/>
            <w:vAlign w:val="bottom"/>
          </w:tcPr>
          <w:p w:rsidR="000F48A2" w:rsidRDefault="000F48A2" w:rsidP="000F48A2">
            <w:pPr>
              <w:jc w:val="center"/>
              <w:rPr>
                <w:sz w:val="20"/>
              </w:rPr>
            </w:pPr>
            <w:r>
              <w:rPr>
                <w:sz w:val="20"/>
              </w:rPr>
              <w:t>1538</w:t>
            </w:r>
          </w:p>
        </w:tc>
        <w:tc>
          <w:tcPr>
            <w:tcW w:w="1093" w:type="dxa"/>
            <w:vAlign w:val="bottom"/>
          </w:tcPr>
          <w:p w:rsidR="000F48A2" w:rsidRDefault="000F48A2" w:rsidP="000F48A2">
            <w:pPr>
              <w:jc w:val="center"/>
              <w:rPr>
                <w:sz w:val="20"/>
              </w:rPr>
            </w:pPr>
            <w:r>
              <w:rPr>
                <w:sz w:val="20"/>
              </w:rPr>
              <w:t>540</w:t>
            </w:r>
          </w:p>
        </w:tc>
        <w:tc>
          <w:tcPr>
            <w:tcW w:w="1594" w:type="dxa"/>
            <w:vAlign w:val="bottom"/>
          </w:tcPr>
          <w:p w:rsidR="000F48A2" w:rsidRDefault="000F48A2" w:rsidP="000F48A2">
            <w:pPr>
              <w:jc w:val="center"/>
              <w:rPr>
                <w:sz w:val="20"/>
              </w:rPr>
            </w:pPr>
            <w:r>
              <w:rPr>
                <w:sz w:val="20"/>
              </w:rPr>
              <w:t>2.848</w:t>
            </w:r>
          </w:p>
        </w:tc>
      </w:tr>
      <w:tr w:rsidR="000F48A2" w:rsidTr="000F48A2">
        <w:trPr>
          <w:trHeight w:val="20"/>
        </w:trPr>
        <w:tc>
          <w:tcPr>
            <w:tcW w:w="1636" w:type="dxa"/>
            <w:noWrap/>
            <w:tcMar>
              <w:top w:w="16" w:type="dxa"/>
              <w:left w:w="16" w:type="dxa"/>
              <w:bottom w:w="0" w:type="dxa"/>
              <w:right w:w="16" w:type="dxa"/>
            </w:tcMar>
            <w:vAlign w:val="bottom"/>
          </w:tcPr>
          <w:p w:rsidR="000F48A2" w:rsidRDefault="000F48A2" w:rsidP="000F48A2">
            <w:pPr>
              <w:rPr>
                <w:sz w:val="20"/>
              </w:rPr>
            </w:pPr>
            <w:r>
              <w:rPr>
                <w:sz w:val="20"/>
              </w:rPr>
              <w:t>Azlocillin</w:t>
            </w:r>
          </w:p>
        </w:tc>
        <w:tc>
          <w:tcPr>
            <w:tcW w:w="900" w:type="dxa"/>
            <w:noWrap/>
            <w:tcMar>
              <w:top w:w="16" w:type="dxa"/>
              <w:left w:w="16" w:type="dxa"/>
              <w:bottom w:w="0" w:type="dxa"/>
              <w:right w:w="16" w:type="dxa"/>
            </w:tcMar>
            <w:vAlign w:val="bottom"/>
          </w:tcPr>
          <w:p w:rsidR="000F48A2" w:rsidRDefault="000F48A2" w:rsidP="000F48A2">
            <w:pPr>
              <w:jc w:val="center"/>
              <w:rPr>
                <w:sz w:val="20"/>
              </w:rPr>
            </w:pPr>
            <w:r>
              <w:rPr>
                <w:sz w:val="20"/>
              </w:rPr>
              <w:t>65.4</w:t>
            </w:r>
          </w:p>
        </w:tc>
        <w:tc>
          <w:tcPr>
            <w:tcW w:w="1080" w:type="dxa"/>
            <w:noWrap/>
            <w:tcMar>
              <w:top w:w="16" w:type="dxa"/>
              <w:left w:w="16" w:type="dxa"/>
              <w:bottom w:w="0" w:type="dxa"/>
              <w:right w:w="16" w:type="dxa"/>
            </w:tcMar>
            <w:vAlign w:val="bottom"/>
          </w:tcPr>
          <w:p w:rsidR="000F48A2" w:rsidRDefault="000F48A2" w:rsidP="000F48A2">
            <w:pPr>
              <w:jc w:val="center"/>
              <w:rPr>
                <w:sz w:val="20"/>
              </w:rPr>
            </w:pPr>
            <w:r>
              <w:rPr>
                <w:sz w:val="20"/>
              </w:rPr>
              <w:t>72</w:t>
            </w:r>
          </w:p>
        </w:tc>
        <w:tc>
          <w:tcPr>
            <w:tcW w:w="1620" w:type="dxa"/>
            <w:noWrap/>
            <w:tcMar>
              <w:top w:w="16" w:type="dxa"/>
              <w:left w:w="16" w:type="dxa"/>
              <w:bottom w:w="0" w:type="dxa"/>
              <w:right w:w="16" w:type="dxa"/>
            </w:tcMar>
            <w:vAlign w:val="bottom"/>
          </w:tcPr>
          <w:p w:rsidR="000F48A2" w:rsidRDefault="000F48A2" w:rsidP="000F48A2">
            <w:pPr>
              <w:jc w:val="center"/>
              <w:rPr>
                <w:sz w:val="20"/>
              </w:rPr>
            </w:pPr>
            <w:r>
              <w:rPr>
                <w:sz w:val="20"/>
              </w:rPr>
              <w:t>0.908</w:t>
            </w:r>
          </w:p>
        </w:tc>
        <w:tc>
          <w:tcPr>
            <w:tcW w:w="900" w:type="dxa"/>
            <w:noWrap/>
            <w:tcMar>
              <w:top w:w="16" w:type="dxa"/>
              <w:left w:w="16" w:type="dxa"/>
              <w:bottom w:w="0" w:type="dxa"/>
              <w:right w:w="16" w:type="dxa"/>
            </w:tcMar>
            <w:vAlign w:val="bottom"/>
          </w:tcPr>
          <w:p w:rsidR="000F48A2" w:rsidRDefault="000F48A2" w:rsidP="000F48A2">
            <w:pPr>
              <w:jc w:val="center"/>
              <w:rPr>
                <w:sz w:val="20"/>
              </w:rPr>
            </w:pPr>
            <w:r>
              <w:rPr>
                <w:sz w:val="20"/>
              </w:rPr>
              <w:t>15.4</w:t>
            </w:r>
          </w:p>
        </w:tc>
        <w:tc>
          <w:tcPr>
            <w:tcW w:w="1260" w:type="dxa"/>
            <w:vAlign w:val="bottom"/>
          </w:tcPr>
          <w:p w:rsidR="000F48A2" w:rsidRDefault="000F48A2" w:rsidP="000F48A2">
            <w:pPr>
              <w:jc w:val="center"/>
              <w:rPr>
                <w:sz w:val="20"/>
              </w:rPr>
            </w:pPr>
            <w:r>
              <w:rPr>
                <w:sz w:val="20"/>
              </w:rPr>
              <w:t>24.7</w:t>
            </w:r>
          </w:p>
        </w:tc>
        <w:tc>
          <w:tcPr>
            <w:tcW w:w="1620" w:type="dxa"/>
            <w:vAlign w:val="bottom"/>
          </w:tcPr>
          <w:p w:rsidR="000F48A2" w:rsidRDefault="000F48A2" w:rsidP="000F48A2">
            <w:pPr>
              <w:jc w:val="center"/>
              <w:rPr>
                <w:sz w:val="20"/>
              </w:rPr>
            </w:pPr>
            <w:r>
              <w:rPr>
                <w:sz w:val="20"/>
              </w:rPr>
              <w:t>0.623</w:t>
            </w:r>
          </w:p>
        </w:tc>
        <w:tc>
          <w:tcPr>
            <w:tcW w:w="1093" w:type="dxa"/>
            <w:vAlign w:val="bottom"/>
          </w:tcPr>
          <w:p w:rsidR="000F48A2" w:rsidRDefault="000F48A2" w:rsidP="000F48A2">
            <w:pPr>
              <w:jc w:val="center"/>
              <w:rPr>
                <w:sz w:val="20"/>
              </w:rPr>
            </w:pPr>
            <w:r>
              <w:rPr>
                <w:sz w:val="20"/>
              </w:rPr>
              <w:t>126.1</w:t>
            </w:r>
          </w:p>
        </w:tc>
        <w:tc>
          <w:tcPr>
            <w:tcW w:w="1093" w:type="dxa"/>
            <w:vAlign w:val="bottom"/>
          </w:tcPr>
          <w:p w:rsidR="000F48A2" w:rsidRDefault="000F48A2" w:rsidP="000F48A2">
            <w:pPr>
              <w:jc w:val="center"/>
              <w:rPr>
                <w:sz w:val="20"/>
              </w:rPr>
            </w:pPr>
            <w:r>
              <w:rPr>
                <w:sz w:val="20"/>
              </w:rPr>
              <w:t>195.7</w:t>
            </w:r>
          </w:p>
        </w:tc>
        <w:tc>
          <w:tcPr>
            <w:tcW w:w="1594" w:type="dxa"/>
            <w:vAlign w:val="bottom"/>
          </w:tcPr>
          <w:p w:rsidR="000F48A2" w:rsidRDefault="000F48A2" w:rsidP="000F48A2">
            <w:pPr>
              <w:jc w:val="center"/>
              <w:rPr>
                <w:sz w:val="20"/>
              </w:rPr>
            </w:pPr>
            <w:r>
              <w:rPr>
                <w:sz w:val="20"/>
              </w:rPr>
              <w:t>0.644</w:t>
            </w:r>
          </w:p>
        </w:tc>
      </w:tr>
      <w:tr w:rsidR="000F48A2" w:rsidTr="000F48A2">
        <w:trPr>
          <w:trHeight w:val="20"/>
        </w:trPr>
        <w:tc>
          <w:tcPr>
            <w:tcW w:w="1636" w:type="dxa"/>
            <w:noWrap/>
            <w:tcMar>
              <w:top w:w="16" w:type="dxa"/>
              <w:left w:w="16" w:type="dxa"/>
              <w:bottom w:w="0" w:type="dxa"/>
              <w:right w:w="16" w:type="dxa"/>
            </w:tcMar>
            <w:vAlign w:val="bottom"/>
          </w:tcPr>
          <w:p w:rsidR="000F48A2" w:rsidRDefault="000F48A2" w:rsidP="000F48A2">
            <w:pPr>
              <w:rPr>
                <w:sz w:val="20"/>
              </w:rPr>
            </w:pPr>
            <w:r>
              <w:rPr>
                <w:sz w:val="20"/>
              </w:rPr>
              <w:t>Nifedipine</w:t>
            </w:r>
          </w:p>
        </w:tc>
        <w:tc>
          <w:tcPr>
            <w:tcW w:w="900" w:type="dxa"/>
            <w:noWrap/>
            <w:tcMar>
              <w:top w:w="16" w:type="dxa"/>
              <w:left w:w="16" w:type="dxa"/>
              <w:bottom w:w="0" w:type="dxa"/>
              <w:right w:w="16" w:type="dxa"/>
            </w:tcMar>
            <w:vAlign w:val="bottom"/>
          </w:tcPr>
          <w:p w:rsidR="000F48A2" w:rsidRDefault="000F48A2" w:rsidP="000F48A2">
            <w:pPr>
              <w:jc w:val="center"/>
              <w:rPr>
                <w:sz w:val="20"/>
              </w:rPr>
            </w:pPr>
            <w:r>
              <w:rPr>
                <w:sz w:val="20"/>
              </w:rPr>
              <w:t>81</w:t>
            </w:r>
          </w:p>
        </w:tc>
        <w:tc>
          <w:tcPr>
            <w:tcW w:w="1080" w:type="dxa"/>
            <w:noWrap/>
            <w:tcMar>
              <w:top w:w="16" w:type="dxa"/>
              <w:left w:w="16" w:type="dxa"/>
              <w:bottom w:w="0" w:type="dxa"/>
              <w:right w:w="16" w:type="dxa"/>
            </w:tcMar>
            <w:vAlign w:val="bottom"/>
          </w:tcPr>
          <w:p w:rsidR="000F48A2" w:rsidRDefault="000F48A2" w:rsidP="000F48A2">
            <w:pPr>
              <w:jc w:val="center"/>
              <w:rPr>
                <w:sz w:val="20"/>
              </w:rPr>
            </w:pPr>
            <w:r>
              <w:rPr>
                <w:sz w:val="20"/>
              </w:rPr>
              <w:t>360</w:t>
            </w:r>
          </w:p>
        </w:tc>
        <w:tc>
          <w:tcPr>
            <w:tcW w:w="1620" w:type="dxa"/>
            <w:noWrap/>
            <w:tcMar>
              <w:top w:w="16" w:type="dxa"/>
              <w:left w:w="16" w:type="dxa"/>
              <w:bottom w:w="0" w:type="dxa"/>
              <w:right w:w="16" w:type="dxa"/>
            </w:tcMar>
            <w:vAlign w:val="bottom"/>
          </w:tcPr>
          <w:p w:rsidR="000F48A2" w:rsidRDefault="000F48A2" w:rsidP="000F48A2">
            <w:pPr>
              <w:jc w:val="center"/>
              <w:rPr>
                <w:sz w:val="20"/>
              </w:rPr>
            </w:pPr>
            <w:r>
              <w:rPr>
                <w:sz w:val="20"/>
              </w:rPr>
              <w:t>0.225</w:t>
            </w:r>
          </w:p>
        </w:tc>
        <w:tc>
          <w:tcPr>
            <w:tcW w:w="900" w:type="dxa"/>
            <w:noWrap/>
            <w:tcMar>
              <w:top w:w="16" w:type="dxa"/>
              <w:left w:w="16" w:type="dxa"/>
              <w:bottom w:w="0" w:type="dxa"/>
              <w:right w:w="16" w:type="dxa"/>
            </w:tcMar>
            <w:vAlign w:val="bottom"/>
          </w:tcPr>
          <w:p w:rsidR="000F48A2" w:rsidRDefault="000F48A2" w:rsidP="000F48A2">
            <w:pPr>
              <w:jc w:val="center"/>
              <w:rPr>
                <w:sz w:val="20"/>
              </w:rPr>
            </w:pPr>
          </w:p>
        </w:tc>
        <w:tc>
          <w:tcPr>
            <w:tcW w:w="1260" w:type="dxa"/>
          </w:tcPr>
          <w:p w:rsidR="000F48A2" w:rsidRDefault="000F48A2" w:rsidP="000F48A2">
            <w:pPr>
              <w:jc w:val="center"/>
              <w:rPr>
                <w:sz w:val="20"/>
              </w:rPr>
            </w:pPr>
          </w:p>
        </w:tc>
        <w:tc>
          <w:tcPr>
            <w:tcW w:w="1620" w:type="dxa"/>
          </w:tcPr>
          <w:p w:rsidR="000F48A2" w:rsidRDefault="000F48A2" w:rsidP="000F48A2">
            <w:pPr>
              <w:jc w:val="center"/>
              <w:rPr>
                <w:sz w:val="20"/>
              </w:rPr>
            </w:pPr>
          </w:p>
        </w:tc>
        <w:tc>
          <w:tcPr>
            <w:tcW w:w="1093" w:type="dxa"/>
            <w:vAlign w:val="bottom"/>
          </w:tcPr>
          <w:p w:rsidR="000F48A2" w:rsidRDefault="000F48A2" w:rsidP="000F48A2">
            <w:pPr>
              <w:jc w:val="center"/>
              <w:rPr>
                <w:sz w:val="20"/>
              </w:rPr>
            </w:pPr>
            <w:r>
              <w:rPr>
                <w:sz w:val="20"/>
              </w:rPr>
              <w:t>266</w:t>
            </w:r>
          </w:p>
        </w:tc>
        <w:tc>
          <w:tcPr>
            <w:tcW w:w="1093" w:type="dxa"/>
            <w:vAlign w:val="bottom"/>
          </w:tcPr>
          <w:p w:rsidR="000F48A2" w:rsidRDefault="000F48A2" w:rsidP="000F48A2">
            <w:pPr>
              <w:jc w:val="center"/>
              <w:rPr>
                <w:sz w:val="20"/>
              </w:rPr>
            </w:pPr>
            <w:r>
              <w:rPr>
                <w:sz w:val="20"/>
              </w:rPr>
              <w:t>27</w:t>
            </w:r>
          </w:p>
        </w:tc>
        <w:tc>
          <w:tcPr>
            <w:tcW w:w="1594" w:type="dxa"/>
            <w:vAlign w:val="bottom"/>
          </w:tcPr>
          <w:p w:rsidR="000F48A2" w:rsidRDefault="000F48A2" w:rsidP="000F48A2">
            <w:pPr>
              <w:jc w:val="center"/>
              <w:rPr>
                <w:sz w:val="20"/>
              </w:rPr>
            </w:pPr>
            <w:r>
              <w:rPr>
                <w:sz w:val="20"/>
              </w:rPr>
              <w:t>9.852</w:t>
            </w:r>
          </w:p>
        </w:tc>
      </w:tr>
      <w:tr w:rsidR="000F48A2" w:rsidTr="000F48A2">
        <w:trPr>
          <w:trHeight w:val="20"/>
        </w:trPr>
        <w:tc>
          <w:tcPr>
            <w:tcW w:w="1636" w:type="dxa"/>
            <w:noWrap/>
            <w:tcMar>
              <w:top w:w="16" w:type="dxa"/>
              <w:left w:w="16" w:type="dxa"/>
              <w:bottom w:w="0" w:type="dxa"/>
              <w:right w:w="16" w:type="dxa"/>
            </w:tcMar>
            <w:vAlign w:val="bottom"/>
          </w:tcPr>
          <w:p w:rsidR="000F48A2" w:rsidRDefault="000F48A2" w:rsidP="000F48A2">
            <w:pPr>
              <w:rPr>
                <w:sz w:val="20"/>
              </w:rPr>
            </w:pPr>
            <w:r>
              <w:rPr>
                <w:sz w:val="20"/>
              </w:rPr>
              <w:t>Labetolol</w:t>
            </w:r>
          </w:p>
        </w:tc>
        <w:tc>
          <w:tcPr>
            <w:tcW w:w="900" w:type="dxa"/>
            <w:noWrap/>
            <w:tcMar>
              <w:top w:w="16" w:type="dxa"/>
              <w:left w:w="16" w:type="dxa"/>
              <w:bottom w:w="0" w:type="dxa"/>
              <w:right w:w="16" w:type="dxa"/>
            </w:tcMar>
            <w:vAlign w:val="bottom"/>
          </w:tcPr>
          <w:p w:rsidR="000F48A2" w:rsidRDefault="000F48A2" w:rsidP="000F48A2">
            <w:pPr>
              <w:jc w:val="center"/>
              <w:rPr>
                <w:sz w:val="20"/>
              </w:rPr>
            </w:pPr>
            <w:r>
              <w:rPr>
                <w:sz w:val="20"/>
              </w:rPr>
              <w:t>102</w:t>
            </w:r>
          </w:p>
        </w:tc>
        <w:tc>
          <w:tcPr>
            <w:tcW w:w="1080" w:type="dxa"/>
            <w:noWrap/>
            <w:tcMar>
              <w:top w:w="16" w:type="dxa"/>
              <w:left w:w="16" w:type="dxa"/>
              <w:bottom w:w="0" w:type="dxa"/>
              <w:right w:w="16" w:type="dxa"/>
            </w:tcMar>
            <w:vAlign w:val="bottom"/>
          </w:tcPr>
          <w:p w:rsidR="000F48A2" w:rsidRDefault="000F48A2" w:rsidP="000F48A2">
            <w:pPr>
              <w:jc w:val="center"/>
              <w:rPr>
                <w:sz w:val="20"/>
              </w:rPr>
            </w:pPr>
            <w:r>
              <w:rPr>
                <w:sz w:val="20"/>
              </w:rPr>
              <w:t>320</w:t>
            </w:r>
          </w:p>
        </w:tc>
        <w:tc>
          <w:tcPr>
            <w:tcW w:w="1620" w:type="dxa"/>
            <w:noWrap/>
            <w:tcMar>
              <w:top w:w="16" w:type="dxa"/>
              <w:left w:w="16" w:type="dxa"/>
              <w:bottom w:w="0" w:type="dxa"/>
              <w:right w:w="16" w:type="dxa"/>
            </w:tcMar>
            <w:vAlign w:val="bottom"/>
          </w:tcPr>
          <w:p w:rsidR="000F48A2" w:rsidRDefault="000F48A2" w:rsidP="000F48A2">
            <w:pPr>
              <w:jc w:val="center"/>
              <w:rPr>
                <w:sz w:val="20"/>
              </w:rPr>
            </w:pPr>
            <w:r>
              <w:rPr>
                <w:sz w:val="20"/>
              </w:rPr>
              <w:t>0.319</w:t>
            </w:r>
          </w:p>
        </w:tc>
        <w:tc>
          <w:tcPr>
            <w:tcW w:w="900" w:type="dxa"/>
            <w:noWrap/>
            <w:tcMar>
              <w:top w:w="16" w:type="dxa"/>
              <w:left w:w="16" w:type="dxa"/>
              <w:bottom w:w="0" w:type="dxa"/>
              <w:right w:w="16" w:type="dxa"/>
            </w:tcMar>
            <w:vAlign w:val="bottom"/>
          </w:tcPr>
          <w:p w:rsidR="000F48A2" w:rsidRDefault="000F48A2" w:rsidP="000F48A2">
            <w:pPr>
              <w:jc w:val="center"/>
              <w:rPr>
                <w:sz w:val="20"/>
              </w:rPr>
            </w:pPr>
          </w:p>
        </w:tc>
        <w:tc>
          <w:tcPr>
            <w:tcW w:w="1260" w:type="dxa"/>
          </w:tcPr>
          <w:p w:rsidR="000F48A2" w:rsidRDefault="000F48A2" w:rsidP="000F48A2">
            <w:pPr>
              <w:jc w:val="center"/>
              <w:rPr>
                <w:sz w:val="20"/>
              </w:rPr>
            </w:pPr>
          </w:p>
        </w:tc>
        <w:tc>
          <w:tcPr>
            <w:tcW w:w="1620" w:type="dxa"/>
          </w:tcPr>
          <w:p w:rsidR="000F48A2" w:rsidRDefault="000F48A2" w:rsidP="000F48A2">
            <w:pPr>
              <w:jc w:val="center"/>
              <w:rPr>
                <w:sz w:val="20"/>
              </w:rPr>
            </w:pPr>
          </w:p>
        </w:tc>
        <w:tc>
          <w:tcPr>
            <w:tcW w:w="1093" w:type="dxa"/>
            <w:vAlign w:val="bottom"/>
          </w:tcPr>
          <w:p w:rsidR="000F48A2" w:rsidRDefault="000F48A2" w:rsidP="000F48A2">
            <w:pPr>
              <w:jc w:val="center"/>
              <w:rPr>
                <w:sz w:val="20"/>
              </w:rPr>
            </w:pPr>
            <w:r>
              <w:rPr>
                <w:sz w:val="20"/>
              </w:rPr>
              <w:t>1704</w:t>
            </w:r>
          </w:p>
        </w:tc>
        <w:tc>
          <w:tcPr>
            <w:tcW w:w="1093" w:type="dxa"/>
            <w:vAlign w:val="bottom"/>
          </w:tcPr>
          <w:p w:rsidR="000F48A2" w:rsidRDefault="000F48A2" w:rsidP="000F48A2">
            <w:pPr>
              <w:jc w:val="center"/>
              <w:rPr>
                <w:sz w:val="20"/>
              </w:rPr>
            </w:pPr>
            <w:r>
              <w:rPr>
                <w:sz w:val="20"/>
              </w:rPr>
              <w:t>1430</w:t>
            </w:r>
          </w:p>
        </w:tc>
        <w:tc>
          <w:tcPr>
            <w:tcW w:w="1594" w:type="dxa"/>
            <w:vAlign w:val="bottom"/>
          </w:tcPr>
          <w:p w:rsidR="000F48A2" w:rsidRDefault="000F48A2" w:rsidP="000F48A2">
            <w:pPr>
              <w:jc w:val="center"/>
              <w:rPr>
                <w:sz w:val="20"/>
              </w:rPr>
            </w:pPr>
            <w:r>
              <w:rPr>
                <w:sz w:val="20"/>
              </w:rPr>
              <w:t>1.192</w:t>
            </w:r>
          </w:p>
        </w:tc>
      </w:tr>
      <w:tr w:rsidR="000F48A2" w:rsidTr="000F48A2">
        <w:trPr>
          <w:trHeight w:val="20"/>
        </w:trPr>
        <w:tc>
          <w:tcPr>
            <w:tcW w:w="1636" w:type="dxa"/>
            <w:noWrap/>
            <w:tcMar>
              <w:top w:w="16" w:type="dxa"/>
              <w:left w:w="16" w:type="dxa"/>
              <w:bottom w:w="0" w:type="dxa"/>
              <w:right w:w="16" w:type="dxa"/>
            </w:tcMar>
            <w:vAlign w:val="bottom"/>
          </w:tcPr>
          <w:p w:rsidR="000F48A2" w:rsidRDefault="000F48A2" w:rsidP="000F48A2">
            <w:pPr>
              <w:rPr>
                <w:sz w:val="20"/>
              </w:rPr>
            </w:pPr>
            <w:r>
              <w:rPr>
                <w:sz w:val="20"/>
              </w:rPr>
              <w:t>Sotalol</w:t>
            </w:r>
          </w:p>
        </w:tc>
        <w:tc>
          <w:tcPr>
            <w:tcW w:w="900" w:type="dxa"/>
            <w:noWrap/>
            <w:tcMar>
              <w:top w:w="16" w:type="dxa"/>
              <w:left w:w="16" w:type="dxa"/>
              <w:bottom w:w="0" w:type="dxa"/>
              <w:right w:w="16" w:type="dxa"/>
            </w:tcMar>
            <w:vAlign w:val="bottom"/>
          </w:tcPr>
          <w:p w:rsidR="000F48A2" w:rsidRDefault="000F48A2" w:rsidP="000F48A2">
            <w:pPr>
              <w:jc w:val="center"/>
              <w:rPr>
                <w:sz w:val="20"/>
              </w:rPr>
            </w:pPr>
            <w:r>
              <w:rPr>
                <w:sz w:val="20"/>
              </w:rPr>
              <w:t>396</w:t>
            </w:r>
          </w:p>
        </w:tc>
        <w:tc>
          <w:tcPr>
            <w:tcW w:w="1080" w:type="dxa"/>
            <w:noWrap/>
            <w:tcMar>
              <w:top w:w="16" w:type="dxa"/>
              <w:left w:w="16" w:type="dxa"/>
              <w:bottom w:w="0" w:type="dxa"/>
              <w:right w:w="16" w:type="dxa"/>
            </w:tcMar>
            <w:vAlign w:val="bottom"/>
          </w:tcPr>
          <w:p w:rsidR="000F48A2" w:rsidRDefault="000F48A2" w:rsidP="000F48A2">
            <w:pPr>
              <w:jc w:val="center"/>
              <w:rPr>
                <w:sz w:val="20"/>
              </w:rPr>
            </w:pPr>
            <w:r>
              <w:rPr>
                <w:sz w:val="20"/>
              </w:rPr>
              <w:t>558</w:t>
            </w:r>
          </w:p>
        </w:tc>
        <w:tc>
          <w:tcPr>
            <w:tcW w:w="1620" w:type="dxa"/>
            <w:noWrap/>
            <w:tcMar>
              <w:top w:w="16" w:type="dxa"/>
              <w:left w:w="16" w:type="dxa"/>
              <w:bottom w:w="0" w:type="dxa"/>
              <w:right w:w="16" w:type="dxa"/>
            </w:tcMar>
            <w:vAlign w:val="bottom"/>
          </w:tcPr>
          <w:p w:rsidR="000F48A2" w:rsidRDefault="000F48A2" w:rsidP="000F48A2">
            <w:pPr>
              <w:jc w:val="center"/>
              <w:rPr>
                <w:sz w:val="20"/>
              </w:rPr>
            </w:pPr>
            <w:r>
              <w:rPr>
                <w:sz w:val="20"/>
              </w:rPr>
              <w:t>0.710</w:t>
            </w:r>
          </w:p>
        </w:tc>
        <w:tc>
          <w:tcPr>
            <w:tcW w:w="900" w:type="dxa"/>
            <w:noWrap/>
            <w:tcMar>
              <w:top w:w="16" w:type="dxa"/>
              <w:left w:w="16" w:type="dxa"/>
              <w:bottom w:w="0" w:type="dxa"/>
              <w:right w:w="16" w:type="dxa"/>
            </w:tcMar>
            <w:vAlign w:val="bottom"/>
          </w:tcPr>
          <w:p w:rsidR="000F48A2" w:rsidRDefault="000F48A2" w:rsidP="000F48A2">
            <w:pPr>
              <w:jc w:val="center"/>
              <w:rPr>
                <w:sz w:val="20"/>
              </w:rPr>
            </w:pPr>
            <w:r>
              <w:rPr>
                <w:sz w:val="20"/>
              </w:rPr>
              <w:t>106.4</w:t>
            </w:r>
          </w:p>
        </w:tc>
        <w:tc>
          <w:tcPr>
            <w:tcW w:w="1260" w:type="dxa"/>
            <w:vAlign w:val="bottom"/>
          </w:tcPr>
          <w:p w:rsidR="000F48A2" w:rsidRDefault="000F48A2" w:rsidP="000F48A2">
            <w:pPr>
              <w:jc w:val="center"/>
              <w:rPr>
                <w:sz w:val="20"/>
              </w:rPr>
            </w:pPr>
            <w:r>
              <w:rPr>
                <w:sz w:val="20"/>
              </w:rPr>
              <w:t>87.3</w:t>
            </w:r>
          </w:p>
        </w:tc>
        <w:tc>
          <w:tcPr>
            <w:tcW w:w="1620" w:type="dxa"/>
            <w:vAlign w:val="bottom"/>
          </w:tcPr>
          <w:p w:rsidR="000F48A2" w:rsidRDefault="000F48A2" w:rsidP="000F48A2">
            <w:pPr>
              <w:jc w:val="center"/>
              <w:rPr>
                <w:sz w:val="20"/>
              </w:rPr>
            </w:pPr>
            <w:r>
              <w:rPr>
                <w:sz w:val="20"/>
              </w:rPr>
              <w:t>1.219</w:t>
            </w:r>
          </w:p>
        </w:tc>
        <w:tc>
          <w:tcPr>
            <w:tcW w:w="1093" w:type="dxa"/>
            <w:vAlign w:val="bottom"/>
          </w:tcPr>
          <w:p w:rsidR="000F48A2" w:rsidRDefault="000F48A2" w:rsidP="000F48A2">
            <w:pPr>
              <w:jc w:val="center"/>
              <w:rPr>
                <w:sz w:val="20"/>
              </w:rPr>
            </w:pPr>
            <w:r>
              <w:rPr>
                <w:sz w:val="20"/>
              </w:rPr>
              <w:t>196</w:t>
            </w:r>
          </w:p>
        </w:tc>
        <w:tc>
          <w:tcPr>
            <w:tcW w:w="1093" w:type="dxa"/>
            <w:vAlign w:val="bottom"/>
          </w:tcPr>
          <w:p w:rsidR="000F48A2" w:rsidRDefault="000F48A2" w:rsidP="000F48A2">
            <w:pPr>
              <w:jc w:val="center"/>
              <w:rPr>
                <w:sz w:val="20"/>
              </w:rPr>
            </w:pPr>
            <w:r>
              <w:rPr>
                <w:sz w:val="20"/>
              </w:rPr>
              <w:t>109</w:t>
            </w:r>
          </w:p>
        </w:tc>
        <w:tc>
          <w:tcPr>
            <w:tcW w:w="1594" w:type="dxa"/>
            <w:vAlign w:val="bottom"/>
          </w:tcPr>
          <w:p w:rsidR="000F48A2" w:rsidRDefault="000F48A2" w:rsidP="000F48A2">
            <w:pPr>
              <w:jc w:val="center"/>
              <w:rPr>
                <w:sz w:val="20"/>
              </w:rPr>
            </w:pPr>
            <w:r>
              <w:rPr>
                <w:sz w:val="20"/>
              </w:rPr>
              <w:t>1.798</w:t>
            </w:r>
          </w:p>
        </w:tc>
      </w:tr>
      <w:tr w:rsidR="000F48A2" w:rsidTr="000F48A2">
        <w:trPr>
          <w:trHeight w:val="20"/>
        </w:trPr>
        <w:tc>
          <w:tcPr>
            <w:tcW w:w="1636" w:type="dxa"/>
            <w:noWrap/>
            <w:tcMar>
              <w:top w:w="16" w:type="dxa"/>
              <w:left w:w="16" w:type="dxa"/>
              <w:bottom w:w="0" w:type="dxa"/>
              <w:right w:w="16" w:type="dxa"/>
            </w:tcMar>
            <w:vAlign w:val="bottom"/>
          </w:tcPr>
          <w:p w:rsidR="000F48A2" w:rsidRDefault="000F48A2" w:rsidP="000F48A2">
            <w:pPr>
              <w:rPr>
                <w:sz w:val="20"/>
              </w:rPr>
            </w:pPr>
          </w:p>
        </w:tc>
        <w:tc>
          <w:tcPr>
            <w:tcW w:w="900" w:type="dxa"/>
            <w:noWrap/>
            <w:tcMar>
              <w:top w:w="16" w:type="dxa"/>
              <w:left w:w="16" w:type="dxa"/>
              <w:bottom w:w="0" w:type="dxa"/>
              <w:right w:w="16" w:type="dxa"/>
            </w:tcMar>
            <w:vAlign w:val="bottom"/>
          </w:tcPr>
          <w:p w:rsidR="000F48A2" w:rsidRDefault="000F48A2" w:rsidP="000F48A2">
            <w:pPr>
              <w:rPr>
                <w:sz w:val="20"/>
              </w:rPr>
            </w:pPr>
          </w:p>
        </w:tc>
        <w:tc>
          <w:tcPr>
            <w:tcW w:w="1080" w:type="dxa"/>
            <w:noWrap/>
            <w:tcMar>
              <w:top w:w="16" w:type="dxa"/>
              <w:left w:w="16" w:type="dxa"/>
              <w:bottom w:w="0" w:type="dxa"/>
              <w:right w:w="16" w:type="dxa"/>
            </w:tcMar>
            <w:vAlign w:val="bottom"/>
          </w:tcPr>
          <w:p w:rsidR="000F48A2" w:rsidRDefault="000F48A2" w:rsidP="000F48A2">
            <w:pPr>
              <w:rPr>
                <w:sz w:val="20"/>
              </w:rPr>
            </w:pPr>
            <w:r>
              <w:rPr>
                <w:sz w:val="20"/>
              </w:rPr>
              <w:t>Gmean</w:t>
            </w:r>
          </w:p>
        </w:tc>
        <w:tc>
          <w:tcPr>
            <w:tcW w:w="1620" w:type="dxa"/>
            <w:noWrap/>
            <w:tcMar>
              <w:top w:w="16" w:type="dxa"/>
              <w:left w:w="16" w:type="dxa"/>
              <w:bottom w:w="0" w:type="dxa"/>
              <w:right w:w="16" w:type="dxa"/>
            </w:tcMar>
            <w:vAlign w:val="bottom"/>
          </w:tcPr>
          <w:p w:rsidR="000F48A2" w:rsidRDefault="000F48A2" w:rsidP="000F48A2">
            <w:pPr>
              <w:jc w:val="center"/>
              <w:rPr>
                <w:sz w:val="20"/>
              </w:rPr>
            </w:pPr>
            <w:r>
              <w:rPr>
                <w:sz w:val="20"/>
              </w:rPr>
              <w:t>0.614</w:t>
            </w:r>
          </w:p>
        </w:tc>
        <w:tc>
          <w:tcPr>
            <w:tcW w:w="900" w:type="dxa"/>
            <w:noWrap/>
            <w:tcMar>
              <w:top w:w="16" w:type="dxa"/>
              <w:left w:w="16" w:type="dxa"/>
              <w:bottom w:w="0" w:type="dxa"/>
              <w:right w:w="16" w:type="dxa"/>
            </w:tcMar>
            <w:vAlign w:val="bottom"/>
          </w:tcPr>
          <w:p w:rsidR="000F48A2" w:rsidRDefault="000F48A2" w:rsidP="000F48A2">
            <w:pPr>
              <w:jc w:val="center"/>
              <w:rPr>
                <w:sz w:val="20"/>
              </w:rPr>
            </w:pPr>
          </w:p>
        </w:tc>
        <w:tc>
          <w:tcPr>
            <w:tcW w:w="1260" w:type="dxa"/>
          </w:tcPr>
          <w:p w:rsidR="000F48A2" w:rsidRDefault="000F48A2" w:rsidP="000F48A2">
            <w:pPr>
              <w:jc w:val="center"/>
              <w:rPr>
                <w:sz w:val="20"/>
              </w:rPr>
            </w:pPr>
          </w:p>
        </w:tc>
        <w:tc>
          <w:tcPr>
            <w:tcW w:w="1620" w:type="dxa"/>
            <w:vAlign w:val="bottom"/>
          </w:tcPr>
          <w:p w:rsidR="000F48A2" w:rsidRDefault="000F48A2" w:rsidP="000F48A2">
            <w:pPr>
              <w:pStyle w:val="xl26"/>
              <w:overflowPunct w:val="0"/>
              <w:autoSpaceDE w:val="0"/>
              <w:autoSpaceDN w:val="0"/>
              <w:adjustRightInd w:val="0"/>
              <w:spacing w:before="0" w:beforeAutospacing="0" w:after="0" w:afterAutospacing="0"/>
              <w:textAlignment w:val="baseline"/>
              <w:rPr>
                <w:rFonts w:ascii="Times New Roman" w:hAnsi="Times New Roman"/>
              </w:rPr>
            </w:pPr>
            <w:r>
              <w:rPr>
                <w:rFonts w:ascii="Times New Roman" w:hAnsi="Times New Roman"/>
              </w:rPr>
              <w:t>1.212</w:t>
            </w:r>
          </w:p>
        </w:tc>
        <w:tc>
          <w:tcPr>
            <w:tcW w:w="1093" w:type="dxa"/>
          </w:tcPr>
          <w:p w:rsidR="000F48A2" w:rsidRDefault="000F48A2" w:rsidP="000F48A2">
            <w:pPr>
              <w:jc w:val="center"/>
              <w:rPr>
                <w:sz w:val="20"/>
              </w:rPr>
            </w:pPr>
          </w:p>
        </w:tc>
        <w:tc>
          <w:tcPr>
            <w:tcW w:w="1093" w:type="dxa"/>
          </w:tcPr>
          <w:p w:rsidR="000F48A2" w:rsidRDefault="000F48A2" w:rsidP="000F48A2">
            <w:pPr>
              <w:jc w:val="center"/>
              <w:rPr>
                <w:sz w:val="20"/>
              </w:rPr>
            </w:pPr>
          </w:p>
        </w:tc>
        <w:tc>
          <w:tcPr>
            <w:tcW w:w="1594" w:type="dxa"/>
            <w:vAlign w:val="bottom"/>
          </w:tcPr>
          <w:p w:rsidR="000F48A2" w:rsidRDefault="000F48A2" w:rsidP="000F48A2">
            <w:pPr>
              <w:pStyle w:val="xl26"/>
              <w:overflowPunct w:val="0"/>
              <w:autoSpaceDE w:val="0"/>
              <w:autoSpaceDN w:val="0"/>
              <w:adjustRightInd w:val="0"/>
              <w:spacing w:before="0" w:beforeAutospacing="0" w:after="0" w:afterAutospacing="0"/>
              <w:textAlignment w:val="baseline"/>
              <w:rPr>
                <w:rFonts w:ascii="Times New Roman" w:hAnsi="Times New Roman"/>
              </w:rPr>
            </w:pPr>
            <w:r>
              <w:rPr>
                <w:rFonts w:ascii="Times New Roman" w:hAnsi="Times New Roman"/>
              </w:rPr>
              <w:t>1.931</w:t>
            </w:r>
          </w:p>
        </w:tc>
      </w:tr>
      <w:tr w:rsidR="000F48A2" w:rsidTr="000F48A2">
        <w:trPr>
          <w:trHeight w:val="20"/>
        </w:trPr>
        <w:tc>
          <w:tcPr>
            <w:tcW w:w="1636" w:type="dxa"/>
            <w:noWrap/>
            <w:tcMar>
              <w:top w:w="16" w:type="dxa"/>
              <w:left w:w="16" w:type="dxa"/>
              <w:bottom w:w="0" w:type="dxa"/>
              <w:right w:w="16" w:type="dxa"/>
            </w:tcMar>
            <w:vAlign w:val="bottom"/>
          </w:tcPr>
          <w:p w:rsidR="000F48A2" w:rsidRDefault="000F48A2" w:rsidP="000F48A2">
            <w:pPr>
              <w:rPr>
                <w:sz w:val="20"/>
              </w:rPr>
            </w:pPr>
          </w:p>
        </w:tc>
        <w:tc>
          <w:tcPr>
            <w:tcW w:w="900" w:type="dxa"/>
            <w:noWrap/>
            <w:tcMar>
              <w:top w:w="16" w:type="dxa"/>
              <w:left w:w="16" w:type="dxa"/>
              <w:bottom w:w="0" w:type="dxa"/>
              <w:right w:w="16" w:type="dxa"/>
            </w:tcMar>
            <w:vAlign w:val="bottom"/>
          </w:tcPr>
          <w:p w:rsidR="000F48A2" w:rsidRDefault="000F48A2" w:rsidP="000F48A2">
            <w:pPr>
              <w:rPr>
                <w:sz w:val="20"/>
              </w:rPr>
            </w:pPr>
          </w:p>
        </w:tc>
        <w:tc>
          <w:tcPr>
            <w:tcW w:w="1080" w:type="dxa"/>
            <w:noWrap/>
            <w:tcMar>
              <w:top w:w="16" w:type="dxa"/>
              <w:left w:w="16" w:type="dxa"/>
              <w:bottom w:w="0" w:type="dxa"/>
              <w:right w:w="16" w:type="dxa"/>
            </w:tcMar>
            <w:vAlign w:val="bottom"/>
          </w:tcPr>
          <w:p w:rsidR="000F48A2" w:rsidRDefault="000F48A2" w:rsidP="000F48A2">
            <w:pPr>
              <w:rPr>
                <w:sz w:val="20"/>
              </w:rPr>
            </w:pPr>
            <w:r>
              <w:rPr>
                <w:sz w:val="20"/>
              </w:rPr>
              <w:t>GSD</w:t>
            </w:r>
          </w:p>
        </w:tc>
        <w:tc>
          <w:tcPr>
            <w:tcW w:w="1620" w:type="dxa"/>
            <w:noWrap/>
            <w:tcMar>
              <w:top w:w="16" w:type="dxa"/>
              <w:left w:w="16" w:type="dxa"/>
              <w:bottom w:w="0" w:type="dxa"/>
              <w:right w:w="16" w:type="dxa"/>
            </w:tcMar>
            <w:vAlign w:val="bottom"/>
          </w:tcPr>
          <w:p w:rsidR="000F48A2" w:rsidRDefault="000F48A2" w:rsidP="000F48A2">
            <w:pPr>
              <w:jc w:val="center"/>
              <w:rPr>
                <w:sz w:val="20"/>
              </w:rPr>
            </w:pPr>
            <w:r>
              <w:rPr>
                <w:sz w:val="20"/>
              </w:rPr>
              <w:t>1.694</w:t>
            </w:r>
          </w:p>
        </w:tc>
        <w:tc>
          <w:tcPr>
            <w:tcW w:w="900" w:type="dxa"/>
            <w:noWrap/>
            <w:tcMar>
              <w:top w:w="16" w:type="dxa"/>
              <w:left w:w="16" w:type="dxa"/>
              <w:bottom w:w="0" w:type="dxa"/>
              <w:right w:w="16" w:type="dxa"/>
            </w:tcMar>
            <w:vAlign w:val="bottom"/>
          </w:tcPr>
          <w:p w:rsidR="000F48A2" w:rsidRDefault="000F48A2" w:rsidP="000F48A2">
            <w:pPr>
              <w:jc w:val="center"/>
              <w:rPr>
                <w:sz w:val="20"/>
              </w:rPr>
            </w:pPr>
          </w:p>
        </w:tc>
        <w:tc>
          <w:tcPr>
            <w:tcW w:w="1260" w:type="dxa"/>
          </w:tcPr>
          <w:p w:rsidR="000F48A2" w:rsidRDefault="000F48A2" w:rsidP="000F48A2">
            <w:pPr>
              <w:jc w:val="center"/>
              <w:rPr>
                <w:sz w:val="20"/>
              </w:rPr>
            </w:pPr>
          </w:p>
        </w:tc>
        <w:tc>
          <w:tcPr>
            <w:tcW w:w="1620" w:type="dxa"/>
            <w:vAlign w:val="bottom"/>
          </w:tcPr>
          <w:p w:rsidR="000F48A2" w:rsidRDefault="000F48A2" w:rsidP="000F48A2">
            <w:pPr>
              <w:jc w:val="center"/>
              <w:rPr>
                <w:sz w:val="20"/>
              </w:rPr>
            </w:pPr>
            <w:r>
              <w:rPr>
                <w:sz w:val="20"/>
              </w:rPr>
              <w:t>1.603</w:t>
            </w:r>
          </w:p>
        </w:tc>
        <w:tc>
          <w:tcPr>
            <w:tcW w:w="1093" w:type="dxa"/>
          </w:tcPr>
          <w:p w:rsidR="000F48A2" w:rsidRDefault="000F48A2" w:rsidP="000F48A2">
            <w:pPr>
              <w:jc w:val="center"/>
              <w:rPr>
                <w:sz w:val="20"/>
              </w:rPr>
            </w:pPr>
          </w:p>
        </w:tc>
        <w:tc>
          <w:tcPr>
            <w:tcW w:w="1093" w:type="dxa"/>
          </w:tcPr>
          <w:p w:rsidR="000F48A2" w:rsidRDefault="000F48A2" w:rsidP="000F48A2">
            <w:pPr>
              <w:jc w:val="center"/>
              <w:rPr>
                <w:sz w:val="20"/>
              </w:rPr>
            </w:pPr>
          </w:p>
        </w:tc>
        <w:tc>
          <w:tcPr>
            <w:tcW w:w="1594" w:type="dxa"/>
            <w:vAlign w:val="bottom"/>
          </w:tcPr>
          <w:p w:rsidR="000F48A2" w:rsidRDefault="000F48A2" w:rsidP="000F48A2">
            <w:pPr>
              <w:jc w:val="center"/>
              <w:rPr>
                <w:sz w:val="20"/>
              </w:rPr>
            </w:pPr>
            <w:r>
              <w:rPr>
                <w:sz w:val="20"/>
              </w:rPr>
              <w:t>2.272</w:t>
            </w:r>
          </w:p>
        </w:tc>
      </w:tr>
      <w:tr w:rsidR="000F48A2" w:rsidTr="000F48A2">
        <w:trPr>
          <w:trHeight w:val="20"/>
        </w:trPr>
        <w:tc>
          <w:tcPr>
            <w:tcW w:w="1636" w:type="dxa"/>
            <w:noWrap/>
            <w:tcMar>
              <w:top w:w="16" w:type="dxa"/>
              <w:left w:w="16" w:type="dxa"/>
              <w:bottom w:w="0" w:type="dxa"/>
              <w:right w:w="16" w:type="dxa"/>
            </w:tcMar>
            <w:vAlign w:val="bottom"/>
          </w:tcPr>
          <w:p w:rsidR="000F48A2" w:rsidRDefault="000F48A2" w:rsidP="000F48A2">
            <w:pPr>
              <w:rPr>
                <w:sz w:val="20"/>
              </w:rPr>
            </w:pPr>
          </w:p>
        </w:tc>
        <w:tc>
          <w:tcPr>
            <w:tcW w:w="900" w:type="dxa"/>
            <w:noWrap/>
            <w:tcMar>
              <w:top w:w="16" w:type="dxa"/>
              <w:left w:w="16" w:type="dxa"/>
              <w:bottom w:w="0" w:type="dxa"/>
              <w:right w:w="16" w:type="dxa"/>
            </w:tcMar>
            <w:vAlign w:val="bottom"/>
          </w:tcPr>
          <w:p w:rsidR="000F48A2" w:rsidRDefault="000F48A2" w:rsidP="000F48A2">
            <w:pPr>
              <w:rPr>
                <w:sz w:val="20"/>
              </w:rPr>
            </w:pPr>
          </w:p>
        </w:tc>
        <w:tc>
          <w:tcPr>
            <w:tcW w:w="1080" w:type="dxa"/>
            <w:noWrap/>
            <w:tcMar>
              <w:top w:w="16" w:type="dxa"/>
              <w:left w:w="16" w:type="dxa"/>
              <w:bottom w:w="0" w:type="dxa"/>
              <w:right w:w="16" w:type="dxa"/>
            </w:tcMar>
            <w:vAlign w:val="bottom"/>
          </w:tcPr>
          <w:p w:rsidR="000F48A2" w:rsidRDefault="000F48A2" w:rsidP="000F48A2">
            <w:pPr>
              <w:rPr>
                <w:sz w:val="20"/>
              </w:rPr>
            </w:pPr>
            <w:r>
              <w:rPr>
                <w:sz w:val="20"/>
              </w:rPr>
              <w:t>Gstd error</w:t>
            </w:r>
          </w:p>
        </w:tc>
        <w:tc>
          <w:tcPr>
            <w:tcW w:w="1620" w:type="dxa"/>
            <w:noWrap/>
            <w:tcMar>
              <w:top w:w="16" w:type="dxa"/>
              <w:left w:w="16" w:type="dxa"/>
              <w:bottom w:w="0" w:type="dxa"/>
              <w:right w:w="16" w:type="dxa"/>
            </w:tcMar>
            <w:vAlign w:val="bottom"/>
          </w:tcPr>
          <w:p w:rsidR="000F48A2" w:rsidRDefault="000F48A2" w:rsidP="000F48A2">
            <w:pPr>
              <w:jc w:val="center"/>
              <w:rPr>
                <w:sz w:val="20"/>
              </w:rPr>
            </w:pPr>
            <w:r>
              <w:rPr>
                <w:sz w:val="20"/>
              </w:rPr>
              <w:t>1.205</w:t>
            </w:r>
          </w:p>
        </w:tc>
        <w:tc>
          <w:tcPr>
            <w:tcW w:w="900" w:type="dxa"/>
            <w:noWrap/>
            <w:tcMar>
              <w:top w:w="16" w:type="dxa"/>
              <w:left w:w="16" w:type="dxa"/>
              <w:bottom w:w="0" w:type="dxa"/>
              <w:right w:w="16" w:type="dxa"/>
            </w:tcMar>
            <w:vAlign w:val="bottom"/>
          </w:tcPr>
          <w:p w:rsidR="000F48A2" w:rsidRDefault="000F48A2" w:rsidP="000F48A2">
            <w:pPr>
              <w:jc w:val="center"/>
              <w:rPr>
                <w:sz w:val="20"/>
              </w:rPr>
            </w:pPr>
          </w:p>
        </w:tc>
        <w:tc>
          <w:tcPr>
            <w:tcW w:w="1260" w:type="dxa"/>
          </w:tcPr>
          <w:p w:rsidR="000F48A2" w:rsidRDefault="000F48A2" w:rsidP="000F48A2">
            <w:pPr>
              <w:jc w:val="center"/>
              <w:rPr>
                <w:sz w:val="20"/>
              </w:rPr>
            </w:pPr>
          </w:p>
        </w:tc>
        <w:tc>
          <w:tcPr>
            <w:tcW w:w="1620" w:type="dxa"/>
            <w:vAlign w:val="bottom"/>
          </w:tcPr>
          <w:p w:rsidR="000F48A2" w:rsidRDefault="000F48A2" w:rsidP="000F48A2">
            <w:pPr>
              <w:jc w:val="center"/>
              <w:rPr>
                <w:sz w:val="20"/>
              </w:rPr>
            </w:pPr>
            <w:r>
              <w:rPr>
                <w:sz w:val="20"/>
              </w:rPr>
              <w:t>1.212</w:t>
            </w:r>
          </w:p>
        </w:tc>
        <w:tc>
          <w:tcPr>
            <w:tcW w:w="1093" w:type="dxa"/>
          </w:tcPr>
          <w:p w:rsidR="000F48A2" w:rsidRDefault="000F48A2" w:rsidP="000F48A2">
            <w:pPr>
              <w:jc w:val="center"/>
              <w:rPr>
                <w:sz w:val="20"/>
              </w:rPr>
            </w:pPr>
          </w:p>
        </w:tc>
        <w:tc>
          <w:tcPr>
            <w:tcW w:w="1093" w:type="dxa"/>
          </w:tcPr>
          <w:p w:rsidR="000F48A2" w:rsidRDefault="000F48A2" w:rsidP="000F48A2">
            <w:pPr>
              <w:jc w:val="center"/>
              <w:rPr>
                <w:sz w:val="20"/>
              </w:rPr>
            </w:pPr>
          </w:p>
        </w:tc>
        <w:tc>
          <w:tcPr>
            <w:tcW w:w="1594" w:type="dxa"/>
            <w:vAlign w:val="bottom"/>
          </w:tcPr>
          <w:p w:rsidR="000F48A2" w:rsidRDefault="000F48A2" w:rsidP="000F48A2">
            <w:pPr>
              <w:jc w:val="center"/>
              <w:rPr>
                <w:sz w:val="20"/>
              </w:rPr>
            </w:pPr>
            <w:r>
              <w:rPr>
                <w:sz w:val="20"/>
              </w:rPr>
              <w:t>1.337</w:t>
            </w:r>
          </w:p>
        </w:tc>
      </w:tr>
    </w:tbl>
    <w:p w:rsidR="008674B2" w:rsidRDefault="000F48A2" w:rsidP="000F48A2">
      <w:pPr>
        <w:spacing w:before="240"/>
        <w:sectPr w:rsidR="008674B2" w:rsidSect="00191DA3">
          <w:pgSz w:w="15840" w:h="12240" w:orient="landscape"/>
          <w:pgMar w:top="1440" w:right="1440" w:bottom="1440" w:left="1440" w:header="720" w:footer="720" w:gutter="0"/>
          <w:cols w:space="720"/>
          <w:titlePg/>
        </w:sectPr>
      </w:pPr>
      <w:r>
        <w:t>Data source:  Loebstein et al., 1997</w:t>
      </w:r>
    </w:p>
    <w:p w:rsidR="004A1F96" w:rsidRDefault="004A1F96" w:rsidP="004A1F96">
      <w:pPr>
        <w:rPr>
          <w:rFonts w:ascii="Times New Roman" w:hAnsi="Times New Roman" w:cs="Times New Roman"/>
          <w:b/>
        </w:rPr>
      </w:pPr>
    </w:p>
    <w:p w:rsidR="006465DB" w:rsidRPr="006465DB" w:rsidRDefault="0042791A" w:rsidP="006465DB">
      <w:pPr>
        <w:pBdr>
          <w:bottom w:val="single" w:sz="24" w:space="1" w:color="auto"/>
        </w:pBdr>
        <w:rPr>
          <w:rFonts w:ascii="Times New Roman" w:hAnsi="Times New Roman" w:cs="Times New Roman"/>
        </w:rPr>
      </w:pPr>
      <w:r>
        <w:rPr>
          <w:rFonts w:ascii="Times New Roman" w:hAnsi="Times New Roman" w:cs="Times New Roman"/>
        </w:rPr>
        <w:t>Table VIII</w:t>
      </w:r>
      <w:r w:rsidR="006465DB" w:rsidRPr="006465DB">
        <w:rPr>
          <w:rFonts w:ascii="Times New Roman" w:hAnsi="Times New Roman" w:cs="Times New Roman"/>
        </w:rPr>
        <w:t>.   Effects of Progressive Addition of Information from Different Sources on the Central Estimates and Uncertainties of Inhalation and Ing</w:t>
      </w:r>
      <w:r w:rsidR="003A1DA0">
        <w:rPr>
          <w:rFonts w:ascii="Times New Roman" w:hAnsi="Times New Roman" w:cs="Times New Roman"/>
        </w:rPr>
        <w:t>estion Dose/Blood Level Ratios [</w:t>
      </w:r>
      <w:r w:rsidR="005C77C8">
        <w:rPr>
          <w:rFonts w:ascii="Times New Roman" w:hAnsi="Times New Roman" w:cs="Times New Roman"/>
        </w:rPr>
        <w:t>n</w:t>
      </w:r>
      <w:r w:rsidR="003A1DA0">
        <w:rPr>
          <w:rFonts w:ascii="Times New Roman" w:hAnsi="Times New Roman" w:cs="Times New Roman"/>
        </w:rPr>
        <w:t>g C</w:t>
      </w:r>
      <w:r w:rsidR="000C0C66">
        <w:rPr>
          <w:rFonts w:ascii="Times New Roman" w:hAnsi="Times New Roman" w:cs="Times New Roman"/>
        </w:rPr>
        <w:t>PF absorbed/kg body weight-day]</w:t>
      </w:r>
      <w:r w:rsidR="003A1DA0">
        <w:rPr>
          <w:rFonts w:ascii="Times New Roman" w:hAnsi="Times New Roman" w:cs="Times New Roman"/>
        </w:rPr>
        <w:t>/</w:t>
      </w:r>
      <w:r w:rsidR="005C77C8">
        <w:rPr>
          <w:rFonts w:ascii="Times New Roman" w:hAnsi="Times New Roman" w:cs="Times New Roman"/>
        </w:rPr>
        <w:t>pg CPF/g maternal blood</w:t>
      </w:r>
      <w:r w:rsidR="00F356BD">
        <w:rPr>
          <w:rFonts w:ascii="Times New Roman" w:hAnsi="Times New Roman" w:cs="Times New Roman"/>
        </w:rPr>
        <w:t xml:space="preserve"> plasma</w:t>
      </w:r>
      <w:r w:rsidR="005C77C8">
        <w:rPr>
          <w:rFonts w:ascii="Times New Roman" w:hAnsi="Times New Roman" w:cs="Times New Roman"/>
        </w:rPr>
        <w:t>)</w:t>
      </w:r>
    </w:p>
    <w:p w:rsidR="006465DB" w:rsidRPr="006465DB" w:rsidRDefault="006465DB" w:rsidP="006465DB">
      <w:pPr>
        <w:rPr>
          <w:rFonts w:ascii="Times New Roman" w:hAnsi="Times New Roman" w:cs="Times New Roman"/>
        </w:rPr>
      </w:pPr>
    </w:p>
    <w:tbl>
      <w:tblPr>
        <w:tblW w:w="9354" w:type="dxa"/>
        <w:tblInd w:w="108" w:type="dxa"/>
        <w:tblLayout w:type="fixed"/>
        <w:tblLook w:val="04A0"/>
      </w:tblPr>
      <w:tblGrid>
        <w:gridCol w:w="4860"/>
        <w:gridCol w:w="990"/>
        <w:gridCol w:w="1114"/>
        <w:gridCol w:w="1046"/>
        <w:gridCol w:w="1344"/>
      </w:tblGrid>
      <w:tr w:rsidR="006465DB" w:rsidRPr="006465DB" w:rsidTr="009C66E2">
        <w:trPr>
          <w:trHeight w:val="240"/>
        </w:trPr>
        <w:tc>
          <w:tcPr>
            <w:tcW w:w="4860" w:type="dxa"/>
            <w:tcBorders>
              <w:top w:val="nil"/>
              <w:left w:val="nil"/>
              <w:bottom w:val="single" w:sz="6" w:space="0" w:color="auto"/>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sz w:val="20"/>
                <w:szCs w:val="20"/>
                <w:lang w:eastAsia="en-US"/>
              </w:rPr>
            </w:pPr>
            <w:r w:rsidRPr="006465DB">
              <w:rPr>
                <w:rFonts w:ascii="Times New Roman" w:eastAsia="Times New Roman" w:hAnsi="Times New Roman" w:cs="Times New Roman"/>
                <w:b/>
                <w:bCs/>
                <w:sz w:val="20"/>
                <w:szCs w:val="20"/>
                <w:lang w:eastAsia="en-US"/>
              </w:rPr>
              <w:t xml:space="preserve"> Inhalation Dose/Blood Level Ratios</w:t>
            </w:r>
            <w:r w:rsidR="003A1DA0">
              <w:rPr>
                <w:rFonts w:ascii="Times New Roman" w:eastAsia="Times New Roman" w:hAnsi="Times New Roman" w:cs="Times New Roman"/>
                <w:b/>
                <w:bCs/>
                <w:sz w:val="20"/>
                <w:szCs w:val="20"/>
                <w:lang w:eastAsia="en-US"/>
              </w:rPr>
              <w:t xml:space="preserve"> </w:t>
            </w:r>
          </w:p>
        </w:tc>
        <w:tc>
          <w:tcPr>
            <w:tcW w:w="990" w:type="dxa"/>
            <w:tcBorders>
              <w:top w:val="nil"/>
              <w:left w:val="nil"/>
              <w:bottom w:val="single" w:sz="6" w:space="0" w:color="auto"/>
              <w:right w:val="nil"/>
            </w:tcBorders>
            <w:shd w:val="clear" w:color="auto" w:fill="auto"/>
            <w:noWrap/>
            <w:vAlign w:val="bottom"/>
            <w:hideMark/>
          </w:tcPr>
          <w:p w:rsidR="006465DB" w:rsidRPr="006465DB" w:rsidRDefault="006465DB" w:rsidP="009C66E2">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Gmean</w:t>
            </w:r>
          </w:p>
        </w:tc>
        <w:tc>
          <w:tcPr>
            <w:tcW w:w="1114" w:type="dxa"/>
            <w:tcBorders>
              <w:top w:val="nil"/>
              <w:left w:val="nil"/>
              <w:bottom w:val="single" w:sz="6" w:space="0" w:color="auto"/>
              <w:right w:val="nil"/>
            </w:tcBorders>
            <w:shd w:val="clear" w:color="auto" w:fill="auto"/>
            <w:noWrap/>
            <w:vAlign w:val="bottom"/>
            <w:hideMark/>
          </w:tcPr>
          <w:p w:rsidR="006465DB" w:rsidRPr="006465DB" w:rsidRDefault="006465DB" w:rsidP="009C66E2">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GSD</w:t>
            </w:r>
          </w:p>
        </w:tc>
        <w:tc>
          <w:tcPr>
            <w:tcW w:w="1046" w:type="dxa"/>
            <w:tcBorders>
              <w:top w:val="nil"/>
              <w:left w:val="nil"/>
              <w:bottom w:val="single" w:sz="6" w:space="0" w:color="auto"/>
              <w:right w:val="nil"/>
            </w:tcBorders>
            <w:shd w:val="clear" w:color="auto" w:fill="auto"/>
            <w:noWrap/>
            <w:vAlign w:val="bottom"/>
            <w:hideMark/>
          </w:tcPr>
          <w:p w:rsidR="006465DB" w:rsidRPr="006465DB" w:rsidRDefault="006465DB" w:rsidP="009C66E2">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2.5</w:t>
            </w:r>
            <w:r w:rsidRPr="006465DB">
              <w:rPr>
                <w:rFonts w:ascii="Times New Roman" w:eastAsia="Times New Roman" w:hAnsi="Times New Roman" w:cs="Times New Roman"/>
                <w:sz w:val="20"/>
                <w:szCs w:val="20"/>
                <w:vertAlign w:val="superscript"/>
                <w:lang w:eastAsia="en-US"/>
              </w:rPr>
              <w:t>th</w:t>
            </w:r>
            <w:r w:rsidRPr="006465DB">
              <w:rPr>
                <w:rFonts w:ascii="Times New Roman" w:eastAsia="Times New Roman" w:hAnsi="Times New Roman" w:cs="Times New Roman"/>
                <w:sz w:val="20"/>
                <w:szCs w:val="20"/>
                <w:lang w:eastAsia="en-US"/>
              </w:rPr>
              <w:t xml:space="preserve"> percentile</w:t>
            </w:r>
          </w:p>
        </w:tc>
        <w:tc>
          <w:tcPr>
            <w:tcW w:w="1344" w:type="dxa"/>
            <w:tcBorders>
              <w:top w:val="nil"/>
              <w:left w:val="nil"/>
              <w:bottom w:val="single" w:sz="6" w:space="0" w:color="auto"/>
              <w:right w:val="nil"/>
            </w:tcBorders>
            <w:shd w:val="clear" w:color="auto" w:fill="auto"/>
            <w:noWrap/>
            <w:vAlign w:val="bottom"/>
            <w:hideMark/>
          </w:tcPr>
          <w:p w:rsidR="006465DB" w:rsidRPr="006465DB" w:rsidRDefault="006465DB" w:rsidP="009C66E2">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97.5th percentile</w:t>
            </w:r>
          </w:p>
        </w:tc>
      </w:tr>
      <w:tr w:rsidR="006465DB" w:rsidRPr="006465DB" w:rsidTr="009C66E2">
        <w:trPr>
          <w:trHeight w:val="240"/>
        </w:trPr>
        <w:tc>
          <w:tcPr>
            <w:tcW w:w="4860" w:type="dxa"/>
            <w:tcBorders>
              <w:top w:val="single" w:sz="6" w:space="0" w:color="auto"/>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"Prior" Bounding Analysis</w:t>
            </w:r>
            <w:r w:rsidR="005C77C8">
              <w:rPr>
                <w:rFonts w:ascii="Times New Roman" w:eastAsia="Times New Roman" w:hAnsi="Times New Roman" w:cs="Times New Roman"/>
                <w:sz w:val="20"/>
                <w:szCs w:val="20"/>
                <w:lang w:eastAsia="en-US"/>
              </w:rPr>
              <w:t xml:space="preserve"> </w:t>
            </w:r>
            <w:r w:rsidR="00F74157">
              <w:rPr>
                <w:rFonts w:ascii="Times New Roman" w:eastAsia="Times New Roman" w:hAnsi="Times New Roman" w:cs="Times New Roman"/>
                <w:sz w:val="20"/>
                <w:szCs w:val="20"/>
                <w:lang w:eastAsia="en-US"/>
              </w:rPr>
              <w:t>(Tables II and III)</w:t>
            </w:r>
          </w:p>
        </w:tc>
        <w:tc>
          <w:tcPr>
            <w:tcW w:w="990" w:type="dxa"/>
            <w:tcBorders>
              <w:top w:val="single" w:sz="6" w:space="0" w:color="auto"/>
              <w:left w:val="nil"/>
              <w:bottom w:val="nil"/>
              <w:right w:val="nil"/>
            </w:tcBorders>
            <w:shd w:val="clear" w:color="auto" w:fill="auto"/>
            <w:noWrap/>
            <w:vAlign w:val="bottom"/>
            <w:hideMark/>
          </w:tcPr>
          <w:p w:rsidR="006465DB" w:rsidRPr="006465DB" w:rsidRDefault="00F3575A"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15.3</w:t>
            </w:r>
          </w:p>
        </w:tc>
        <w:tc>
          <w:tcPr>
            <w:tcW w:w="1114" w:type="dxa"/>
            <w:tcBorders>
              <w:top w:val="single" w:sz="6" w:space="0" w:color="auto"/>
              <w:left w:val="nil"/>
              <w:bottom w:val="nil"/>
              <w:right w:val="nil"/>
            </w:tcBorders>
            <w:shd w:val="clear" w:color="auto" w:fill="auto"/>
            <w:noWrap/>
            <w:vAlign w:val="bottom"/>
            <w:hideMark/>
          </w:tcPr>
          <w:p w:rsidR="006465DB" w:rsidRPr="006465DB" w:rsidRDefault="006465DB" w:rsidP="00CE78CD">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1.</w:t>
            </w:r>
            <w:r w:rsidR="00BA1BB4">
              <w:rPr>
                <w:rFonts w:ascii="Times New Roman" w:eastAsia="Times New Roman" w:hAnsi="Times New Roman" w:cs="Times New Roman"/>
                <w:sz w:val="20"/>
                <w:szCs w:val="20"/>
                <w:lang w:eastAsia="en-US"/>
              </w:rPr>
              <w:t>734</w:t>
            </w:r>
          </w:p>
        </w:tc>
        <w:tc>
          <w:tcPr>
            <w:tcW w:w="1046" w:type="dxa"/>
            <w:tcBorders>
              <w:top w:val="single" w:sz="6" w:space="0" w:color="auto"/>
              <w:left w:val="nil"/>
              <w:bottom w:val="nil"/>
              <w:right w:val="nil"/>
            </w:tcBorders>
            <w:shd w:val="clear" w:color="auto" w:fill="auto"/>
            <w:noWrap/>
            <w:vAlign w:val="bottom"/>
            <w:hideMark/>
          </w:tcPr>
          <w:p w:rsidR="006465DB" w:rsidRPr="006465DB" w:rsidRDefault="00AD6DD9"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2.93</w:t>
            </w:r>
          </w:p>
        </w:tc>
        <w:tc>
          <w:tcPr>
            <w:tcW w:w="1344" w:type="dxa"/>
            <w:tcBorders>
              <w:top w:val="single" w:sz="6" w:space="0" w:color="auto"/>
              <w:left w:val="nil"/>
              <w:bottom w:val="nil"/>
              <w:right w:val="nil"/>
            </w:tcBorders>
            <w:shd w:val="clear" w:color="auto" w:fill="auto"/>
            <w:noWrap/>
            <w:vAlign w:val="bottom"/>
            <w:hideMark/>
          </w:tcPr>
          <w:p w:rsidR="006465DB" w:rsidRPr="006465DB" w:rsidRDefault="00CE78CD"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30.5</w:t>
            </w: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FC54EA">
            <w:pP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In Vitro Microsome Metaoblism</w:t>
            </w:r>
            <w:r w:rsidR="007A3FCF">
              <w:rPr>
                <w:rFonts w:ascii="Times New Roman" w:eastAsia="Times New Roman" w:hAnsi="Times New Roman" w:cs="Times New Roman"/>
                <w:sz w:val="20"/>
                <w:szCs w:val="20"/>
                <w:lang w:eastAsia="en-US"/>
              </w:rPr>
              <w:fldChar w:fldCharType="begin"/>
            </w:r>
            <w:r w:rsidR="00FC54EA">
              <w:rPr>
                <w:rFonts w:ascii="Times New Roman" w:eastAsia="Times New Roman" w:hAnsi="Times New Roman" w:cs="Times New Roman"/>
                <w:sz w:val="20"/>
                <w:szCs w:val="20"/>
                <w:lang w:eastAsia="en-US"/>
              </w:rPr>
              <w:instrText xml:space="preserve"> ADDIN EN.CITE &lt;EndNote&gt;&lt;Cite ExcludeYear="1"&gt;&lt;Author&gt;Smith&lt;/Author&gt;&lt;RecNum&gt;80&lt;/RecNum&gt;&lt;DisplayText&gt;&lt;style face="superscript"&gt;(18)&lt;/style&gt;&lt;/DisplayText&gt;&lt;record&gt;&lt;rec-number&gt;80&lt;/rec-number&gt;&lt;foreign-keys&gt;&lt;key app="EN" db-id="apt5x9twmavw5feppw2p0x27wdvz92ez0va2"&gt;80&lt;/key&gt;&lt;/foreign-keys&gt;&lt;ref-type name="Journal Article"&gt;17&lt;/ref-type&gt;&lt;contributors&gt;&lt;authors&gt;&lt;author&gt;Smith, J. N.&lt;/author&gt;&lt;author&gt;Timchalk, C.&lt;/author&gt;&lt;author&gt;Bartels, M. J.&lt;/author&gt;&lt;author&gt;Poet, T. S.&lt;/author&gt;&lt;/authors&gt;&lt;/contributors&gt;&lt;auth-address&gt;Battelle, Pacific Northwest Division, Richland, Washington, USA. jordan.smith@pnl.gov&lt;/auth-address&gt;&lt;titles&gt;&lt;title&gt;In vitro age-dependent enzymatic metabolism of chlorpyrifos and chlorpyrifos-oxon in human hepatic microsomes and chlorpyrifos-oxon in plasma&lt;/title&gt;&lt;secondary-title&gt;Drug Metab Dispos&lt;/secondary-title&gt;&lt;/titles&gt;&lt;periodical&gt;&lt;full-title&gt;Drug Metab Dispos&lt;/full-title&gt;&lt;/periodical&gt;&lt;pages&gt;1353-62&lt;/pages&gt;&lt;volume&gt;39&lt;/volume&gt;&lt;number&gt;8&lt;/number&gt;&lt;edition&gt;2011/04/28&lt;/edition&gt;&lt;dates&gt;&lt;pub-dates&gt;&lt;date&gt;Aug&lt;/date&gt;&lt;/pub-dates&gt;&lt;/dates&gt;&lt;isbn&gt;1521-009X (Electronic)&amp;#xD;0090-9556 (Linking)&lt;/isbn&gt;&lt;accession-num&gt;21521795&lt;/accession-num&gt;&lt;urls&gt;&lt;related-urls&gt;&lt;url&gt;http://www.ncbi.nlm.nih.gov/entrez/query.fcgi?cmd=Retrieve&amp;amp;db=PubMed&amp;amp;dopt=Citation&amp;amp;list_uids=21521795&lt;/url&gt;&lt;/related-urls&gt;&lt;/urls&gt;&lt;electronic-resource-num&gt;dmd.111.038745 [pii]&amp;#xD;10.1124/dmd.111.038745&lt;/electronic-resource-num&gt;&lt;language&gt;eng&lt;/language&gt;&lt;/record&gt;&lt;/Cite&gt;&lt;/EndNote&gt;</w:instrText>
            </w:r>
            <w:r w:rsidR="007A3FCF">
              <w:rPr>
                <w:rFonts w:ascii="Times New Roman" w:eastAsia="Times New Roman" w:hAnsi="Times New Roman" w:cs="Times New Roman"/>
                <w:sz w:val="20"/>
                <w:szCs w:val="20"/>
                <w:lang w:eastAsia="en-US"/>
              </w:rPr>
              <w:fldChar w:fldCharType="separate"/>
            </w:r>
            <w:r w:rsidR="00FC54EA" w:rsidRPr="00FC54EA">
              <w:rPr>
                <w:rFonts w:ascii="Times New Roman" w:eastAsia="Times New Roman" w:hAnsi="Times New Roman" w:cs="Times New Roman"/>
                <w:noProof/>
                <w:sz w:val="20"/>
                <w:szCs w:val="20"/>
                <w:vertAlign w:val="superscript"/>
                <w:lang w:eastAsia="en-US"/>
              </w:rPr>
              <w:t>(</w:t>
            </w:r>
            <w:hyperlink w:anchor="_ENREF_18" w:tooltip="Smith,  #80" w:history="1">
              <w:r w:rsidR="00FC54EA" w:rsidRPr="00FC54EA">
                <w:rPr>
                  <w:rFonts w:ascii="Times New Roman" w:eastAsia="Times New Roman" w:hAnsi="Times New Roman" w:cs="Times New Roman"/>
                  <w:noProof/>
                  <w:sz w:val="20"/>
                  <w:szCs w:val="20"/>
                  <w:vertAlign w:val="superscript"/>
                  <w:lang w:eastAsia="en-US"/>
                </w:rPr>
                <w:t>18</w:t>
              </w:r>
            </w:hyperlink>
            <w:r w:rsidR="00FC54EA" w:rsidRPr="00FC54EA">
              <w:rPr>
                <w:rFonts w:ascii="Times New Roman" w:eastAsia="Times New Roman" w:hAnsi="Times New Roman" w:cs="Times New Roman"/>
                <w:noProof/>
                <w:sz w:val="20"/>
                <w:szCs w:val="20"/>
                <w:vertAlign w:val="superscript"/>
                <w:lang w:eastAsia="en-US"/>
              </w:rPr>
              <w:t>)</w:t>
            </w:r>
            <w:r w:rsidR="007A3FCF">
              <w:rPr>
                <w:rFonts w:ascii="Times New Roman" w:eastAsia="Times New Roman" w:hAnsi="Times New Roman" w:cs="Times New Roman"/>
                <w:sz w:val="20"/>
                <w:szCs w:val="20"/>
                <w:lang w:eastAsia="en-US"/>
              </w:rPr>
              <w:fldChar w:fldCharType="end"/>
            </w:r>
            <w:r w:rsidRPr="006465DB">
              <w:rPr>
                <w:rFonts w:ascii="Times New Roman" w:eastAsia="Times New Roman" w:hAnsi="Times New Roman" w:cs="Times New Roman"/>
                <w:sz w:val="20"/>
                <w:szCs w:val="20"/>
                <w:lang w:eastAsia="en-US"/>
              </w:rPr>
              <w:t xml:space="preserve"> </w:t>
            </w:r>
            <w:r w:rsidR="007A3FCF">
              <w:rPr>
                <w:rFonts w:ascii="Times New Roman" w:eastAsia="Times New Roman" w:hAnsi="Times New Roman" w:cs="Times New Roman"/>
                <w:sz w:val="20"/>
                <w:szCs w:val="20"/>
                <w:lang w:eastAsia="en-US"/>
              </w:rPr>
              <w:fldChar w:fldCharType="begin"/>
            </w:r>
            <w:r w:rsidR="00FC54EA">
              <w:rPr>
                <w:rFonts w:ascii="Times New Roman" w:eastAsia="Times New Roman" w:hAnsi="Times New Roman" w:cs="Times New Roman"/>
                <w:sz w:val="20"/>
                <w:szCs w:val="20"/>
                <w:lang w:eastAsia="en-US"/>
              </w:rPr>
              <w:instrText xml:space="preserve"> ADDIN EN.CITE &lt;EndNote&gt;&lt;Cite&gt;&lt;Author&gt;Ito&lt;/Author&gt;&lt;Year&gt;2005&lt;/Year&gt;&lt;RecNum&gt;104&lt;/RecNum&gt;&lt;DisplayText&gt;&lt;style face="superscript"&gt;(24)&lt;/style&gt;&lt;/DisplayText&gt;&lt;record&gt;&lt;rec-number&gt;104&lt;/rec-number&gt;&lt;foreign-keys&gt;&lt;key app="EN" db-id="0pfddxea8wsvd7ea90uxwfr3evst259x2f0f"&gt;104&lt;/key&gt;&lt;/foreign-keys&gt;&lt;ref-type name="Journal Article"&gt;17&lt;/ref-type&gt;&lt;contributors&gt;&lt;authors&gt;&lt;author&gt;Ito, K, Houston, JB&lt;/author&gt;&lt;/authors&gt;&lt;/contributors&gt;&lt;titles&gt;&lt;title&gt;Prediction of human drug clearance from in vitro and preclinical data using physiologically based and empirical approaches&lt;/title&gt;&lt;secondary-title&gt;Pharmaceutical research&lt;/secondary-title&gt;&lt;/titles&gt;&lt;periodical&gt;&lt;full-title&gt;Pharmaceutical research&lt;/full-title&gt;&lt;abbr-1&gt;Pharm Res&lt;/abbr-1&gt;&lt;/periodical&gt;&lt;pages&gt;103-112&lt;/pages&gt;&lt;volume&gt;22&lt;/volume&gt;&lt;number&gt;1&lt;/number&gt;&lt;dates&gt;&lt;year&gt;2005&lt;/year&gt;&lt;/dates&gt;&lt;urls&gt;&lt;/urls&gt;&lt;/record&gt;&lt;/Cite&gt;&lt;/EndNote&gt;</w:instrText>
            </w:r>
            <w:r w:rsidR="007A3FCF">
              <w:rPr>
                <w:rFonts w:ascii="Times New Roman" w:eastAsia="Times New Roman" w:hAnsi="Times New Roman" w:cs="Times New Roman"/>
                <w:sz w:val="20"/>
                <w:szCs w:val="20"/>
                <w:lang w:eastAsia="en-US"/>
              </w:rPr>
              <w:fldChar w:fldCharType="separate"/>
            </w:r>
            <w:r w:rsidR="00FC54EA" w:rsidRPr="00FC54EA">
              <w:rPr>
                <w:rFonts w:ascii="Times New Roman" w:eastAsia="Times New Roman" w:hAnsi="Times New Roman" w:cs="Times New Roman"/>
                <w:noProof/>
                <w:sz w:val="20"/>
                <w:szCs w:val="20"/>
                <w:vertAlign w:val="superscript"/>
                <w:lang w:eastAsia="en-US"/>
              </w:rPr>
              <w:t>(</w:t>
            </w:r>
            <w:hyperlink w:anchor="_ENREF_24" w:tooltip="Ito, 2005 #104" w:history="1">
              <w:r w:rsidR="00FC54EA" w:rsidRPr="00FC54EA">
                <w:rPr>
                  <w:rFonts w:ascii="Times New Roman" w:eastAsia="Times New Roman" w:hAnsi="Times New Roman" w:cs="Times New Roman"/>
                  <w:noProof/>
                  <w:sz w:val="20"/>
                  <w:szCs w:val="20"/>
                  <w:vertAlign w:val="superscript"/>
                  <w:lang w:eastAsia="en-US"/>
                </w:rPr>
                <w:t>24</w:t>
              </w:r>
            </w:hyperlink>
            <w:r w:rsidR="00FC54EA" w:rsidRPr="00FC54EA">
              <w:rPr>
                <w:rFonts w:ascii="Times New Roman" w:eastAsia="Times New Roman" w:hAnsi="Times New Roman" w:cs="Times New Roman"/>
                <w:noProof/>
                <w:sz w:val="20"/>
                <w:szCs w:val="20"/>
                <w:vertAlign w:val="superscript"/>
                <w:lang w:eastAsia="en-US"/>
              </w:rPr>
              <w:t>)</w:t>
            </w:r>
            <w:r w:rsidR="007A3FCF">
              <w:rPr>
                <w:rFonts w:ascii="Times New Roman" w:eastAsia="Times New Roman" w:hAnsi="Times New Roman" w:cs="Times New Roman"/>
                <w:sz w:val="20"/>
                <w:szCs w:val="20"/>
                <w:lang w:eastAsia="en-US"/>
              </w:rPr>
              <w:fldChar w:fldCharType="end"/>
            </w:r>
          </w:p>
        </w:tc>
        <w:tc>
          <w:tcPr>
            <w:tcW w:w="990" w:type="dxa"/>
            <w:tcBorders>
              <w:top w:val="nil"/>
              <w:left w:val="nil"/>
              <w:bottom w:val="nil"/>
              <w:right w:val="nil"/>
            </w:tcBorders>
            <w:shd w:val="clear" w:color="auto" w:fill="auto"/>
            <w:noWrap/>
            <w:vAlign w:val="bottom"/>
            <w:hideMark/>
          </w:tcPr>
          <w:p w:rsidR="006465DB" w:rsidRPr="006465DB" w:rsidRDefault="00BD584C"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23.3</w:t>
            </w:r>
          </w:p>
        </w:tc>
        <w:tc>
          <w:tcPr>
            <w:tcW w:w="1114" w:type="dxa"/>
            <w:tcBorders>
              <w:top w:val="nil"/>
              <w:left w:val="nil"/>
              <w:bottom w:val="nil"/>
              <w:right w:val="nil"/>
            </w:tcBorders>
            <w:shd w:val="clear" w:color="auto" w:fill="auto"/>
            <w:noWrap/>
            <w:vAlign w:val="bottom"/>
            <w:hideMark/>
          </w:tcPr>
          <w:p w:rsidR="006465DB" w:rsidRPr="006465DB" w:rsidRDefault="00BD584C"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1.476</w:t>
            </w:r>
          </w:p>
        </w:tc>
        <w:tc>
          <w:tcPr>
            <w:tcW w:w="1046" w:type="dxa"/>
            <w:tcBorders>
              <w:top w:val="nil"/>
              <w:left w:val="nil"/>
              <w:bottom w:val="nil"/>
              <w:right w:val="nil"/>
            </w:tcBorders>
            <w:shd w:val="clear" w:color="auto" w:fill="auto"/>
            <w:noWrap/>
            <w:vAlign w:val="bottom"/>
            <w:hideMark/>
          </w:tcPr>
          <w:p w:rsidR="006465DB" w:rsidRPr="006465DB" w:rsidRDefault="00BD584C"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7.44</w:t>
            </w:r>
          </w:p>
        </w:tc>
        <w:tc>
          <w:tcPr>
            <w:tcW w:w="1344" w:type="dxa"/>
            <w:tcBorders>
              <w:top w:val="nil"/>
              <w:left w:val="nil"/>
              <w:bottom w:val="nil"/>
              <w:right w:val="nil"/>
            </w:tcBorders>
            <w:shd w:val="clear" w:color="auto" w:fill="auto"/>
            <w:noWrap/>
            <w:vAlign w:val="bottom"/>
            <w:hideMark/>
          </w:tcPr>
          <w:p w:rsidR="006465DB" w:rsidRPr="006465DB" w:rsidRDefault="00BD584C"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32.3</w:t>
            </w: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b/>
                <w:sz w:val="20"/>
                <w:szCs w:val="20"/>
                <w:lang w:eastAsia="en-US"/>
              </w:rPr>
            </w:pPr>
            <w:r w:rsidRPr="006465DB">
              <w:rPr>
                <w:rFonts w:ascii="Times New Roman" w:eastAsia="Times New Roman" w:hAnsi="Times New Roman" w:cs="Times New Roman"/>
                <w:b/>
                <w:sz w:val="20"/>
                <w:szCs w:val="20"/>
                <w:lang w:eastAsia="en-US"/>
              </w:rPr>
              <w:t>2-way Comb.--Prior and In Vitro Microsome  Metab</w:t>
            </w:r>
          </w:p>
        </w:tc>
        <w:tc>
          <w:tcPr>
            <w:tcW w:w="990" w:type="dxa"/>
            <w:tcBorders>
              <w:top w:val="nil"/>
              <w:left w:val="nil"/>
              <w:bottom w:val="nil"/>
              <w:right w:val="nil"/>
            </w:tcBorders>
            <w:shd w:val="clear" w:color="auto" w:fill="auto"/>
            <w:noWrap/>
            <w:vAlign w:val="bottom"/>
            <w:hideMark/>
          </w:tcPr>
          <w:p w:rsidR="006465DB" w:rsidRPr="006465DB" w:rsidRDefault="006F6EE9"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20</w:t>
            </w:r>
            <w:r w:rsidR="006465DB" w:rsidRPr="006465DB">
              <w:rPr>
                <w:rFonts w:ascii="Times New Roman" w:eastAsia="Times New Roman" w:hAnsi="Times New Roman" w:cs="Times New Roman"/>
                <w:b/>
                <w:sz w:val="20"/>
                <w:szCs w:val="20"/>
                <w:lang w:eastAsia="en-US"/>
              </w:rPr>
              <w:t>.2</w:t>
            </w:r>
          </w:p>
        </w:tc>
        <w:tc>
          <w:tcPr>
            <w:tcW w:w="1114" w:type="dxa"/>
            <w:tcBorders>
              <w:top w:val="nil"/>
              <w:left w:val="nil"/>
              <w:bottom w:val="nil"/>
              <w:right w:val="nil"/>
            </w:tcBorders>
            <w:shd w:val="clear" w:color="auto" w:fill="auto"/>
            <w:noWrap/>
            <w:vAlign w:val="bottom"/>
            <w:hideMark/>
          </w:tcPr>
          <w:p w:rsidR="006465DB" w:rsidRPr="006465DB" w:rsidRDefault="006F6EE9"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1.402</w:t>
            </w:r>
          </w:p>
        </w:tc>
        <w:tc>
          <w:tcPr>
            <w:tcW w:w="1046" w:type="dxa"/>
            <w:tcBorders>
              <w:top w:val="nil"/>
              <w:left w:val="nil"/>
              <w:bottom w:val="nil"/>
              <w:right w:val="nil"/>
            </w:tcBorders>
            <w:shd w:val="clear" w:color="auto" w:fill="auto"/>
            <w:noWrap/>
            <w:vAlign w:val="bottom"/>
            <w:hideMark/>
          </w:tcPr>
          <w:p w:rsidR="006465DB" w:rsidRPr="006465DB" w:rsidRDefault="006F6EE9"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8.78</w:t>
            </w:r>
          </w:p>
        </w:tc>
        <w:tc>
          <w:tcPr>
            <w:tcW w:w="1344" w:type="dxa"/>
            <w:tcBorders>
              <w:top w:val="nil"/>
              <w:left w:val="nil"/>
              <w:bottom w:val="nil"/>
              <w:right w:val="nil"/>
            </w:tcBorders>
            <w:shd w:val="clear" w:color="auto" w:fill="auto"/>
            <w:noWrap/>
            <w:vAlign w:val="bottom"/>
            <w:hideMark/>
          </w:tcPr>
          <w:p w:rsidR="006465DB" w:rsidRPr="006465DB" w:rsidRDefault="006F6EE9"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31</w:t>
            </w:r>
            <w:r w:rsidR="006465DB" w:rsidRPr="006465DB">
              <w:rPr>
                <w:rFonts w:ascii="Times New Roman" w:eastAsia="Times New Roman" w:hAnsi="Times New Roman" w:cs="Times New Roman"/>
                <w:b/>
                <w:sz w:val="20"/>
                <w:szCs w:val="20"/>
                <w:lang w:eastAsia="en-US"/>
              </w:rPr>
              <w:t>.5</w:t>
            </w:r>
          </w:p>
        </w:tc>
      </w:tr>
      <w:tr w:rsidR="006465DB" w:rsidRPr="006465DB" w:rsidTr="009C66E2">
        <w:trPr>
          <w:trHeight w:val="240"/>
        </w:trPr>
        <w:tc>
          <w:tcPr>
            <w:tcW w:w="4860" w:type="dxa"/>
            <w:tcBorders>
              <w:top w:val="nil"/>
              <w:left w:val="nil"/>
              <w:bottom w:val="nil"/>
              <w:right w:val="nil"/>
            </w:tcBorders>
            <w:shd w:val="clear" w:color="auto" w:fill="auto"/>
            <w:noWrap/>
            <w:vAlign w:val="bottom"/>
          </w:tcPr>
          <w:p w:rsidR="006465DB" w:rsidRPr="006465DB" w:rsidRDefault="006465DB" w:rsidP="009C66E2">
            <w:pPr>
              <w:rPr>
                <w:rFonts w:ascii="Times New Roman" w:eastAsia="Times New Roman" w:hAnsi="Times New Roman" w:cs="Times New Roman"/>
                <w:sz w:val="20"/>
                <w:szCs w:val="20"/>
                <w:lang w:eastAsia="en-US"/>
              </w:rPr>
            </w:pPr>
          </w:p>
        </w:tc>
        <w:tc>
          <w:tcPr>
            <w:tcW w:w="990"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c>
          <w:tcPr>
            <w:tcW w:w="1114"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c>
          <w:tcPr>
            <w:tcW w:w="1046"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c>
          <w:tcPr>
            <w:tcW w:w="1344"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Nolan Oral Human Dosing Experiments</w:t>
            </w:r>
          </w:p>
        </w:tc>
        <w:tc>
          <w:tcPr>
            <w:tcW w:w="990" w:type="dxa"/>
            <w:tcBorders>
              <w:top w:val="nil"/>
              <w:left w:val="nil"/>
              <w:bottom w:val="nil"/>
              <w:right w:val="nil"/>
            </w:tcBorders>
            <w:shd w:val="clear" w:color="auto" w:fill="auto"/>
            <w:noWrap/>
            <w:vAlign w:val="bottom"/>
            <w:hideMark/>
          </w:tcPr>
          <w:p w:rsidR="006465DB" w:rsidRPr="006465DB" w:rsidRDefault="00E936B3"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17.7</w:t>
            </w:r>
          </w:p>
        </w:tc>
        <w:tc>
          <w:tcPr>
            <w:tcW w:w="1114" w:type="dxa"/>
            <w:tcBorders>
              <w:top w:val="nil"/>
              <w:left w:val="nil"/>
              <w:bottom w:val="nil"/>
              <w:right w:val="nil"/>
            </w:tcBorders>
            <w:shd w:val="clear" w:color="auto" w:fill="auto"/>
            <w:noWrap/>
            <w:vAlign w:val="bottom"/>
            <w:hideMark/>
          </w:tcPr>
          <w:p w:rsidR="006465DB" w:rsidRPr="006465DB" w:rsidRDefault="00E936B3"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1.460</w:t>
            </w:r>
          </w:p>
        </w:tc>
        <w:tc>
          <w:tcPr>
            <w:tcW w:w="1046" w:type="dxa"/>
            <w:tcBorders>
              <w:top w:val="nil"/>
              <w:left w:val="nil"/>
              <w:bottom w:val="nil"/>
              <w:right w:val="nil"/>
            </w:tcBorders>
            <w:shd w:val="clear" w:color="auto" w:fill="auto"/>
            <w:noWrap/>
            <w:vAlign w:val="bottom"/>
            <w:hideMark/>
          </w:tcPr>
          <w:p w:rsidR="006465DB" w:rsidRPr="006465DB" w:rsidRDefault="00E936B3"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6.98</w:t>
            </w:r>
          </w:p>
        </w:tc>
        <w:tc>
          <w:tcPr>
            <w:tcW w:w="1344" w:type="dxa"/>
            <w:tcBorders>
              <w:top w:val="nil"/>
              <w:left w:val="nil"/>
              <w:bottom w:val="nil"/>
              <w:right w:val="nil"/>
            </w:tcBorders>
            <w:shd w:val="clear" w:color="auto" w:fill="auto"/>
            <w:noWrap/>
            <w:vAlign w:val="bottom"/>
            <w:hideMark/>
          </w:tcPr>
          <w:p w:rsidR="006465DB" w:rsidRPr="006465DB" w:rsidRDefault="00E936B3"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29.3</w:t>
            </w: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b/>
                <w:sz w:val="20"/>
                <w:szCs w:val="20"/>
                <w:lang w:eastAsia="en-US"/>
              </w:rPr>
            </w:pPr>
            <w:r w:rsidRPr="006465DB">
              <w:rPr>
                <w:rFonts w:ascii="Times New Roman" w:eastAsia="Times New Roman" w:hAnsi="Times New Roman" w:cs="Times New Roman"/>
                <w:b/>
                <w:sz w:val="20"/>
                <w:szCs w:val="20"/>
                <w:lang w:eastAsia="en-US"/>
              </w:rPr>
              <w:t>3-way Comb. Excluding Kisicki</w:t>
            </w:r>
          </w:p>
        </w:tc>
        <w:tc>
          <w:tcPr>
            <w:tcW w:w="990" w:type="dxa"/>
            <w:tcBorders>
              <w:top w:val="nil"/>
              <w:left w:val="nil"/>
              <w:bottom w:val="nil"/>
              <w:right w:val="nil"/>
            </w:tcBorders>
            <w:shd w:val="clear" w:color="auto" w:fill="auto"/>
            <w:noWrap/>
            <w:vAlign w:val="bottom"/>
            <w:hideMark/>
          </w:tcPr>
          <w:p w:rsidR="006465DB" w:rsidRPr="006465DB" w:rsidRDefault="000B364D"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20.5</w:t>
            </w:r>
          </w:p>
        </w:tc>
        <w:tc>
          <w:tcPr>
            <w:tcW w:w="1114" w:type="dxa"/>
            <w:tcBorders>
              <w:top w:val="nil"/>
              <w:left w:val="nil"/>
              <w:bottom w:val="nil"/>
              <w:right w:val="nil"/>
            </w:tcBorders>
            <w:shd w:val="clear" w:color="auto" w:fill="auto"/>
            <w:noWrap/>
            <w:vAlign w:val="bottom"/>
            <w:hideMark/>
          </w:tcPr>
          <w:p w:rsidR="006465DB" w:rsidRPr="006465DB" w:rsidRDefault="000B364D"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1.293</w:t>
            </w:r>
          </w:p>
        </w:tc>
        <w:tc>
          <w:tcPr>
            <w:tcW w:w="1046" w:type="dxa"/>
            <w:tcBorders>
              <w:top w:val="nil"/>
              <w:left w:val="nil"/>
              <w:bottom w:val="nil"/>
              <w:right w:val="nil"/>
            </w:tcBorders>
            <w:shd w:val="clear" w:color="auto" w:fill="auto"/>
            <w:noWrap/>
            <w:vAlign w:val="bottom"/>
            <w:hideMark/>
          </w:tcPr>
          <w:p w:rsidR="006465DB" w:rsidRPr="006465DB" w:rsidRDefault="000B364D"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11.2</w:t>
            </w:r>
          </w:p>
        </w:tc>
        <w:tc>
          <w:tcPr>
            <w:tcW w:w="1344" w:type="dxa"/>
            <w:tcBorders>
              <w:top w:val="nil"/>
              <w:left w:val="nil"/>
              <w:bottom w:val="nil"/>
              <w:right w:val="nil"/>
            </w:tcBorders>
            <w:shd w:val="clear" w:color="auto" w:fill="auto"/>
            <w:noWrap/>
            <w:vAlign w:val="bottom"/>
            <w:hideMark/>
          </w:tcPr>
          <w:p w:rsidR="006465DB" w:rsidRPr="006465DB" w:rsidRDefault="000B364D"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29</w:t>
            </w:r>
            <w:r w:rsidR="006465DB" w:rsidRPr="006465DB">
              <w:rPr>
                <w:rFonts w:ascii="Times New Roman" w:eastAsia="Times New Roman" w:hAnsi="Times New Roman" w:cs="Times New Roman"/>
                <w:b/>
                <w:sz w:val="20"/>
                <w:szCs w:val="20"/>
                <w:lang w:eastAsia="en-US"/>
              </w:rPr>
              <w:t>.9</w:t>
            </w:r>
          </w:p>
        </w:tc>
      </w:tr>
      <w:tr w:rsidR="006465DB" w:rsidRPr="006465DB" w:rsidTr="009C66E2">
        <w:trPr>
          <w:trHeight w:val="240"/>
        </w:trPr>
        <w:tc>
          <w:tcPr>
            <w:tcW w:w="4860" w:type="dxa"/>
            <w:tcBorders>
              <w:top w:val="nil"/>
              <w:left w:val="nil"/>
              <w:bottom w:val="nil"/>
              <w:right w:val="nil"/>
            </w:tcBorders>
            <w:shd w:val="clear" w:color="auto" w:fill="auto"/>
            <w:noWrap/>
            <w:vAlign w:val="bottom"/>
          </w:tcPr>
          <w:p w:rsidR="006465DB" w:rsidRPr="006465DB" w:rsidRDefault="006465DB" w:rsidP="009C66E2">
            <w:pPr>
              <w:rPr>
                <w:rFonts w:ascii="Times New Roman" w:eastAsia="Times New Roman" w:hAnsi="Times New Roman" w:cs="Times New Roman"/>
                <w:sz w:val="20"/>
                <w:szCs w:val="20"/>
                <w:lang w:eastAsia="en-US"/>
              </w:rPr>
            </w:pPr>
          </w:p>
        </w:tc>
        <w:tc>
          <w:tcPr>
            <w:tcW w:w="990"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c>
          <w:tcPr>
            <w:tcW w:w="1114"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c>
          <w:tcPr>
            <w:tcW w:w="1046"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c>
          <w:tcPr>
            <w:tcW w:w="1344"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Kisicki Oral Human dosing Experiments</w:t>
            </w:r>
          </w:p>
        </w:tc>
        <w:tc>
          <w:tcPr>
            <w:tcW w:w="990" w:type="dxa"/>
            <w:tcBorders>
              <w:top w:val="nil"/>
              <w:left w:val="nil"/>
              <w:bottom w:val="nil"/>
              <w:right w:val="nil"/>
            </w:tcBorders>
            <w:shd w:val="clear" w:color="auto" w:fill="auto"/>
            <w:noWrap/>
            <w:vAlign w:val="bottom"/>
            <w:hideMark/>
          </w:tcPr>
          <w:p w:rsidR="006465DB" w:rsidRPr="006465DB" w:rsidRDefault="00931F93"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29.9</w:t>
            </w:r>
          </w:p>
        </w:tc>
        <w:tc>
          <w:tcPr>
            <w:tcW w:w="1114" w:type="dxa"/>
            <w:tcBorders>
              <w:top w:val="nil"/>
              <w:left w:val="nil"/>
              <w:bottom w:val="nil"/>
              <w:right w:val="nil"/>
            </w:tcBorders>
            <w:shd w:val="clear" w:color="auto" w:fill="auto"/>
            <w:noWrap/>
            <w:vAlign w:val="bottom"/>
            <w:hideMark/>
          </w:tcPr>
          <w:p w:rsidR="006465DB" w:rsidRPr="006465DB" w:rsidRDefault="00931F93"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1.078</w:t>
            </w:r>
          </w:p>
        </w:tc>
        <w:tc>
          <w:tcPr>
            <w:tcW w:w="1046" w:type="dxa"/>
            <w:tcBorders>
              <w:top w:val="nil"/>
              <w:left w:val="nil"/>
              <w:bottom w:val="nil"/>
              <w:right w:val="nil"/>
            </w:tcBorders>
            <w:shd w:val="clear" w:color="auto" w:fill="auto"/>
            <w:noWrap/>
            <w:vAlign w:val="bottom"/>
            <w:hideMark/>
          </w:tcPr>
          <w:p w:rsidR="006465DB" w:rsidRPr="006465DB" w:rsidRDefault="00931F93"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24.2</w:t>
            </w:r>
          </w:p>
        </w:tc>
        <w:tc>
          <w:tcPr>
            <w:tcW w:w="1344" w:type="dxa"/>
            <w:tcBorders>
              <w:top w:val="nil"/>
              <w:left w:val="nil"/>
              <w:bottom w:val="nil"/>
              <w:right w:val="nil"/>
            </w:tcBorders>
            <w:shd w:val="clear" w:color="auto" w:fill="auto"/>
            <w:noWrap/>
            <w:vAlign w:val="bottom"/>
            <w:hideMark/>
          </w:tcPr>
          <w:p w:rsidR="006465DB" w:rsidRPr="006465DB" w:rsidRDefault="00931F93"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32.3</w:t>
            </w: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b/>
                <w:sz w:val="20"/>
                <w:szCs w:val="20"/>
                <w:lang w:eastAsia="en-US"/>
              </w:rPr>
            </w:pPr>
            <w:r w:rsidRPr="006465DB">
              <w:rPr>
                <w:rFonts w:ascii="Times New Roman" w:eastAsia="Times New Roman" w:hAnsi="Times New Roman" w:cs="Times New Roman"/>
                <w:b/>
                <w:sz w:val="20"/>
                <w:szCs w:val="20"/>
                <w:lang w:eastAsia="en-US"/>
              </w:rPr>
              <w:t>3-way Comb excluding Nolan</w:t>
            </w:r>
          </w:p>
        </w:tc>
        <w:tc>
          <w:tcPr>
            <w:tcW w:w="990" w:type="dxa"/>
            <w:tcBorders>
              <w:top w:val="nil"/>
              <w:left w:val="nil"/>
              <w:bottom w:val="nil"/>
              <w:right w:val="nil"/>
            </w:tcBorders>
            <w:shd w:val="clear" w:color="auto" w:fill="auto"/>
            <w:noWrap/>
            <w:vAlign w:val="bottom"/>
            <w:hideMark/>
          </w:tcPr>
          <w:p w:rsidR="006465DB" w:rsidRPr="006465DB" w:rsidRDefault="008070D9"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28.5</w:t>
            </w:r>
          </w:p>
        </w:tc>
        <w:tc>
          <w:tcPr>
            <w:tcW w:w="1114" w:type="dxa"/>
            <w:tcBorders>
              <w:top w:val="nil"/>
              <w:left w:val="nil"/>
              <w:bottom w:val="nil"/>
              <w:right w:val="nil"/>
            </w:tcBorders>
            <w:shd w:val="clear" w:color="auto" w:fill="auto"/>
            <w:noWrap/>
            <w:vAlign w:val="bottom"/>
            <w:hideMark/>
          </w:tcPr>
          <w:p w:rsidR="006465DB" w:rsidRPr="006465DB" w:rsidRDefault="00F3575A" w:rsidP="002D3D8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1.</w:t>
            </w:r>
            <w:r w:rsidR="002D3D82">
              <w:rPr>
                <w:rFonts w:ascii="Times New Roman" w:eastAsia="Times New Roman" w:hAnsi="Times New Roman" w:cs="Times New Roman"/>
                <w:b/>
                <w:sz w:val="20"/>
                <w:szCs w:val="20"/>
                <w:lang w:eastAsia="en-US"/>
              </w:rPr>
              <w:t>091</w:t>
            </w:r>
          </w:p>
        </w:tc>
        <w:tc>
          <w:tcPr>
            <w:tcW w:w="1046" w:type="dxa"/>
            <w:tcBorders>
              <w:top w:val="nil"/>
              <w:left w:val="nil"/>
              <w:bottom w:val="nil"/>
              <w:right w:val="nil"/>
            </w:tcBorders>
            <w:shd w:val="clear" w:color="auto" w:fill="auto"/>
            <w:noWrap/>
            <w:vAlign w:val="bottom"/>
            <w:hideMark/>
          </w:tcPr>
          <w:p w:rsidR="006465DB" w:rsidRPr="006465DB" w:rsidRDefault="00B5681F"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22.3</w:t>
            </w:r>
          </w:p>
        </w:tc>
        <w:tc>
          <w:tcPr>
            <w:tcW w:w="1344" w:type="dxa"/>
            <w:tcBorders>
              <w:top w:val="nil"/>
              <w:left w:val="nil"/>
              <w:bottom w:val="nil"/>
              <w:right w:val="nil"/>
            </w:tcBorders>
            <w:shd w:val="clear" w:color="auto" w:fill="auto"/>
            <w:noWrap/>
            <w:vAlign w:val="bottom"/>
            <w:hideMark/>
          </w:tcPr>
          <w:p w:rsidR="006465DB" w:rsidRPr="006465DB" w:rsidRDefault="00B5681F"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31.6</w:t>
            </w:r>
          </w:p>
        </w:tc>
      </w:tr>
      <w:tr w:rsidR="006465DB" w:rsidRPr="006465DB" w:rsidTr="009C66E2">
        <w:trPr>
          <w:trHeight w:val="240"/>
        </w:trPr>
        <w:tc>
          <w:tcPr>
            <w:tcW w:w="4860" w:type="dxa"/>
            <w:tcBorders>
              <w:top w:val="nil"/>
              <w:left w:val="nil"/>
              <w:bottom w:val="nil"/>
              <w:right w:val="nil"/>
            </w:tcBorders>
            <w:shd w:val="clear" w:color="auto" w:fill="auto"/>
            <w:noWrap/>
            <w:vAlign w:val="bottom"/>
          </w:tcPr>
          <w:p w:rsidR="006465DB" w:rsidRPr="006465DB" w:rsidRDefault="006465DB" w:rsidP="009C66E2">
            <w:pPr>
              <w:rPr>
                <w:rFonts w:ascii="Times New Roman" w:eastAsia="Times New Roman" w:hAnsi="Times New Roman" w:cs="Times New Roman"/>
                <w:b/>
                <w:sz w:val="20"/>
                <w:szCs w:val="20"/>
                <w:lang w:eastAsia="en-US"/>
              </w:rPr>
            </w:pPr>
          </w:p>
        </w:tc>
        <w:tc>
          <w:tcPr>
            <w:tcW w:w="990"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b/>
                <w:sz w:val="20"/>
                <w:szCs w:val="20"/>
                <w:lang w:eastAsia="en-US"/>
              </w:rPr>
            </w:pPr>
          </w:p>
        </w:tc>
        <w:tc>
          <w:tcPr>
            <w:tcW w:w="1114"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b/>
                <w:sz w:val="20"/>
                <w:szCs w:val="20"/>
                <w:lang w:eastAsia="en-US"/>
              </w:rPr>
            </w:pPr>
          </w:p>
        </w:tc>
        <w:tc>
          <w:tcPr>
            <w:tcW w:w="1046"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b/>
                <w:sz w:val="20"/>
                <w:szCs w:val="20"/>
                <w:lang w:eastAsia="en-US"/>
              </w:rPr>
            </w:pPr>
          </w:p>
        </w:tc>
        <w:tc>
          <w:tcPr>
            <w:tcW w:w="1344"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b/>
                <w:sz w:val="20"/>
                <w:szCs w:val="20"/>
                <w:lang w:eastAsia="en-US"/>
              </w:rPr>
            </w:pP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b/>
                <w:sz w:val="20"/>
                <w:szCs w:val="20"/>
                <w:lang w:eastAsia="en-US"/>
              </w:rPr>
            </w:pPr>
            <w:r w:rsidRPr="006465DB">
              <w:rPr>
                <w:rFonts w:ascii="Times New Roman" w:eastAsia="Times New Roman" w:hAnsi="Times New Roman" w:cs="Times New Roman"/>
                <w:b/>
                <w:sz w:val="20"/>
                <w:szCs w:val="20"/>
                <w:lang w:eastAsia="en-US"/>
              </w:rPr>
              <w:t>4-way Comb. including all</w:t>
            </w:r>
            <w:r w:rsidR="00A26968">
              <w:rPr>
                <w:rFonts w:ascii="Times New Roman" w:eastAsia="Times New Roman" w:hAnsi="Times New Roman" w:cs="Times New Roman"/>
                <w:b/>
                <w:sz w:val="20"/>
                <w:szCs w:val="20"/>
                <w:lang w:eastAsia="en-US"/>
              </w:rPr>
              <w:t xml:space="preserve"> sources of information</w:t>
            </w:r>
          </w:p>
        </w:tc>
        <w:tc>
          <w:tcPr>
            <w:tcW w:w="990" w:type="dxa"/>
            <w:tcBorders>
              <w:top w:val="nil"/>
              <w:left w:val="nil"/>
              <w:bottom w:val="nil"/>
              <w:right w:val="nil"/>
            </w:tcBorders>
            <w:shd w:val="clear" w:color="auto" w:fill="auto"/>
            <w:noWrap/>
            <w:vAlign w:val="bottom"/>
            <w:hideMark/>
          </w:tcPr>
          <w:p w:rsidR="006465DB" w:rsidRPr="006465DB" w:rsidRDefault="002B6220"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27.6</w:t>
            </w:r>
          </w:p>
        </w:tc>
        <w:tc>
          <w:tcPr>
            <w:tcW w:w="1114" w:type="dxa"/>
            <w:tcBorders>
              <w:top w:val="nil"/>
              <w:left w:val="nil"/>
              <w:bottom w:val="nil"/>
              <w:right w:val="nil"/>
            </w:tcBorders>
            <w:shd w:val="clear" w:color="auto" w:fill="auto"/>
            <w:noWrap/>
            <w:vAlign w:val="bottom"/>
            <w:hideMark/>
          </w:tcPr>
          <w:p w:rsidR="006465DB" w:rsidRPr="006465DB" w:rsidRDefault="00F3575A" w:rsidP="00074555">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1.</w:t>
            </w:r>
            <w:r w:rsidR="00074555">
              <w:rPr>
                <w:rFonts w:ascii="Times New Roman" w:eastAsia="Times New Roman" w:hAnsi="Times New Roman" w:cs="Times New Roman"/>
                <w:b/>
                <w:sz w:val="20"/>
                <w:szCs w:val="20"/>
                <w:lang w:eastAsia="en-US"/>
              </w:rPr>
              <w:t>103</w:t>
            </w:r>
          </w:p>
        </w:tc>
        <w:tc>
          <w:tcPr>
            <w:tcW w:w="1046" w:type="dxa"/>
            <w:tcBorders>
              <w:top w:val="nil"/>
              <w:left w:val="nil"/>
              <w:bottom w:val="nil"/>
              <w:right w:val="nil"/>
            </w:tcBorders>
            <w:shd w:val="clear" w:color="auto" w:fill="auto"/>
            <w:noWrap/>
            <w:vAlign w:val="bottom"/>
            <w:hideMark/>
          </w:tcPr>
          <w:p w:rsidR="006465DB" w:rsidRPr="006465DB" w:rsidRDefault="006465DB" w:rsidP="00DA4DAF">
            <w:pPr>
              <w:jc w:val="center"/>
              <w:rPr>
                <w:rFonts w:ascii="Times New Roman" w:eastAsia="Times New Roman" w:hAnsi="Times New Roman" w:cs="Times New Roman"/>
                <w:b/>
                <w:sz w:val="20"/>
                <w:szCs w:val="20"/>
                <w:lang w:eastAsia="en-US"/>
              </w:rPr>
            </w:pPr>
            <w:r w:rsidRPr="006465DB">
              <w:rPr>
                <w:rFonts w:ascii="Times New Roman" w:eastAsia="Times New Roman" w:hAnsi="Times New Roman" w:cs="Times New Roman"/>
                <w:b/>
                <w:sz w:val="20"/>
                <w:szCs w:val="20"/>
                <w:lang w:eastAsia="en-US"/>
              </w:rPr>
              <w:t>2</w:t>
            </w:r>
            <w:r w:rsidR="00DA4DAF">
              <w:rPr>
                <w:rFonts w:ascii="Times New Roman" w:eastAsia="Times New Roman" w:hAnsi="Times New Roman" w:cs="Times New Roman"/>
                <w:b/>
                <w:sz w:val="20"/>
                <w:szCs w:val="20"/>
                <w:lang w:eastAsia="en-US"/>
              </w:rPr>
              <w:t>1.1</w:t>
            </w:r>
          </w:p>
        </w:tc>
        <w:tc>
          <w:tcPr>
            <w:tcW w:w="1344" w:type="dxa"/>
            <w:tcBorders>
              <w:top w:val="nil"/>
              <w:left w:val="nil"/>
              <w:bottom w:val="nil"/>
              <w:right w:val="nil"/>
            </w:tcBorders>
            <w:shd w:val="clear" w:color="auto" w:fill="auto"/>
            <w:noWrap/>
            <w:vAlign w:val="bottom"/>
            <w:hideMark/>
          </w:tcPr>
          <w:p w:rsidR="006465DB" w:rsidRPr="006465DB" w:rsidRDefault="00D91F17"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31.0</w:t>
            </w:r>
          </w:p>
        </w:tc>
      </w:tr>
    </w:tbl>
    <w:p w:rsidR="006465DB" w:rsidRPr="006465DB" w:rsidRDefault="006465DB" w:rsidP="006465DB">
      <w:pPr>
        <w:rPr>
          <w:rFonts w:ascii="Times New Roman" w:hAnsi="Times New Roman" w:cs="Times New Roman"/>
        </w:rPr>
      </w:pPr>
    </w:p>
    <w:tbl>
      <w:tblPr>
        <w:tblW w:w="9354" w:type="dxa"/>
        <w:tblInd w:w="108" w:type="dxa"/>
        <w:tblLayout w:type="fixed"/>
        <w:tblLook w:val="04A0"/>
      </w:tblPr>
      <w:tblGrid>
        <w:gridCol w:w="4860"/>
        <w:gridCol w:w="990"/>
        <w:gridCol w:w="1114"/>
        <w:gridCol w:w="1046"/>
        <w:gridCol w:w="1344"/>
      </w:tblGrid>
      <w:tr w:rsidR="006465DB" w:rsidRPr="006465DB" w:rsidTr="009C66E2">
        <w:trPr>
          <w:trHeight w:val="240"/>
        </w:trPr>
        <w:tc>
          <w:tcPr>
            <w:tcW w:w="4860" w:type="dxa"/>
            <w:tcBorders>
              <w:top w:val="nil"/>
              <w:left w:val="nil"/>
              <w:bottom w:val="single" w:sz="6" w:space="0" w:color="auto"/>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sz w:val="20"/>
                <w:szCs w:val="20"/>
                <w:lang w:eastAsia="en-US"/>
              </w:rPr>
            </w:pPr>
            <w:r w:rsidRPr="006465DB">
              <w:rPr>
                <w:rFonts w:ascii="Times New Roman" w:eastAsia="Times New Roman" w:hAnsi="Times New Roman" w:cs="Times New Roman"/>
                <w:b/>
                <w:bCs/>
                <w:sz w:val="20"/>
                <w:szCs w:val="20"/>
                <w:lang w:eastAsia="en-US"/>
              </w:rPr>
              <w:t>Ingestion Dose/Blood Level Ratios</w:t>
            </w:r>
          </w:p>
        </w:tc>
        <w:tc>
          <w:tcPr>
            <w:tcW w:w="990" w:type="dxa"/>
            <w:tcBorders>
              <w:top w:val="nil"/>
              <w:left w:val="nil"/>
              <w:bottom w:val="single" w:sz="6" w:space="0" w:color="auto"/>
              <w:right w:val="nil"/>
            </w:tcBorders>
            <w:shd w:val="clear" w:color="auto" w:fill="auto"/>
            <w:noWrap/>
            <w:vAlign w:val="bottom"/>
            <w:hideMark/>
          </w:tcPr>
          <w:p w:rsidR="006465DB" w:rsidRPr="006465DB" w:rsidRDefault="006465DB" w:rsidP="009C66E2">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Gmean</w:t>
            </w:r>
          </w:p>
        </w:tc>
        <w:tc>
          <w:tcPr>
            <w:tcW w:w="1114" w:type="dxa"/>
            <w:tcBorders>
              <w:top w:val="nil"/>
              <w:left w:val="nil"/>
              <w:bottom w:val="single" w:sz="6" w:space="0" w:color="auto"/>
              <w:right w:val="nil"/>
            </w:tcBorders>
            <w:shd w:val="clear" w:color="auto" w:fill="auto"/>
            <w:noWrap/>
            <w:vAlign w:val="bottom"/>
            <w:hideMark/>
          </w:tcPr>
          <w:p w:rsidR="006465DB" w:rsidRPr="006465DB" w:rsidRDefault="006465DB" w:rsidP="009C66E2">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GSD</w:t>
            </w:r>
          </w:p>
        </w:tc>
        <w:tc>
          <w:tcPr>
            <w:tcW w:w="1046" w:type="dxa"/>
            <w:tcBorders>
              <w:top w:val="nil"/>
              <w:left w:val="nil"/>
              <w:bottom w:val="single" w:sz="6" w:space="0" w:color="auto"/>
              <w:right w:val="nil"/>
            </w:tcBorders>
            <w:shd w:val="clear" w:color="auto" w:fill="auto"/>
            <w:noWrap/>
            <w:vAlign w:val="bottom"/>
            <w:hideMark/>
          </w:tcPr>
          <w:p w:rsidR="006465DB" w:rsidRPr="006465DB" w:rsidRDefault="006465DB" w:rsidP="009C66E2">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2.5</w:t>
            </w:r>
            <w:r w:rsidRPr="006465DB">
              <w:rPr>
                <w:rFonts w:ascii="Times New Roman" w:eastAsia="Times New Roman" w:hAnsi="Times New Roman" w:cs="Times New Roman"/>
                <w:sz w:val="20"/>
                <w:szCs w:val="20"/>
                <w:vertAlign w:val="superscript"/>
                <w:lang w:eastAsia="en-US"/>
              </w:rPr>
              <w:t>th</w:t>
            </w:r>
            <w:r w:rsidRPr="006465DB">
              <w:rPr>
                <w:rFonts w:ascii="Times New Roman" w:eastAsia="Times New Roman" w:hAnsi="Times New Roman" w:cs="Times New Roman"/>
                <w:sz w:val="20"/>
                <w:szCs w:val="20"/>
                <w:lang w:eastAsia="en-US"/>
              </w:rPr>
              <w:t xml:space="preserve"> percentile</w:t>
            </w:r>
          </w:p>
        </w:tc>
        <w:tc>
          <w:tcPr>
            <w:tcW w:w="1344" w:type="dxa"/>
            <w:tcBorders>
              <w:top w:val="nil"/>
              <w:left w:val="nil"/>
              <w:bottom w:val="single" w:sz="6" w:space="0" w:color="auto"/>
              <w:right w:val="nil"/>
            </w:tcBorders>
            <w:shd w:val="clear" w:color="auto" w:fill="auto"/>
            <w:noWrap/>
            <w:vAlign w:val="bottom"/>
            <w:hideMark/>
          </w:tcPr>
          <w:p w:rsidR="006465DB" w:rsidRPr="006465DB" w:rsidRDefault="006465DB" w:rsidP="009C66E2">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97.5th percentile</w:t>
            </w:r>
          </w:p>
        </w:tc>
      </w:tr>
      <w:tr w:rsidR="006465DB" w:rsidRPr="006465DB" w:rsidTr="009C66E2">
        <w:trPr>
          <w:trHeight w:val="240"/>
        </w:trPr>
        <w:tc>
          <w:tcPr>
            <w:tcW w:w="4860" w:type="dxa"/>
            <w:tcBorders>
              <w:top w:val="single" w:sz="6" w:space="0" w:color="auto"/>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"Prior"</w:t>
            </w:r>
            <w:r w:rsidR="00CF4236">
              <w:rPr>
                <w:rFonts w:ascii="Times New Roman" w:eastAsia="Times New Roman" w:hAnsi="Times New Roman" w:cs="Times New Roman"/>
                <w:sz w:val="20"/>
                <w:szCs w:val="20"/>
                <w:lang w:eastAsia="en-US"/>
              </w:rPr>
              <w:t xml:space="preserve"> Bounding Analysis</w:t>
            </w:r>
          </w:p>
        </w:tc>
        <w:tc>
          <w:tcPr>
            <w:tcW w:w="990" w:type="dxa"/>
            <w:tcBorders>
              <w:top w:val="single" w:sz="6" w:space="0" w:color="auto"/>
              <w:left w:val="nil"/>
              <w:bottom w:val="nil"/>
              <w:right w:val="nil"/>
            </w:tcBorders>
            <w:shd w:val="clear" w:color="auto" w:fill="auto"/>
            <w:noWrap/>
            <w:vAlign w:val="bottom"/>
            <w:hideMark/>
          </w:tcPr>
          <w:p w:rsidR="006465DB" w:rsidRPr="006465DB" w:rsidRDefault="001E0A48"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24.4</w:t>
            </w:r>
          </w:p>
        </w:tc>
        <w:tc>
          <w:tcPr>
            <w:tcW w:w="1114" w:type="dxa"/>
            <w:tcBorders>
              <w:top w:val="single" w:sz="6" w:space="0" w:color="auto"/>
              <w:left w:val="nil"/>
              <w:bottom w:val="nil"/>
              <w:right w:val="nil"/>
            </w:tcBorders>
            <w:shd w:val="clear" w:color="auto" w:fill="auto"/>
            <w:noWrap/>
            <w:vAlign w:val="bottom"/>
            <w:hideMark/>
          </w:tcPr>
          <w:p w:rsidR="006465DB" w:rsidRPr="006465DB" w:rsidRDefault="001E0A48"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1.719</w:t>
            </w:r>
          </w:p>
        </w:tc>
        <w:tc>
          <w:tcPr>
            <w:tcW w:w="1046" w:type="dxa"/>
            <w:tcBorders>
              <w:top w:val="single" w:sz="6" w:space="0" w:color="auto"/>
              <w:left w:val="nil"/>
              <w:bottom w:val="nil"/>
              <w:right w:val="nil"/>
            </w:tcBorders>
            <w:shd w:val="clear" w:color="auto" w:fill="auto"/>
            <w:noWrap/>
            <w:vAlign w:val="bottom"/>
            <w:hideMark/>
          </w:tcPr>
          <w:p w:rsidR="006465DB" w:rsidRPr="006465DB" w:rsidRDefault="001933B7" w:rsidP="005B4811">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4.</w:t>
            </w:r>
            <w:r w:rsidR="00046BE1">
              <w:rPr>
                <w:rFonts w:ascii="Times New Roman" w:eastAsia="Times New Roman" w:hAnsi="Times New Roman" w:cs="Times New Roman"/>
                <w:sz w:val="20"/>
                <w:szCs w:val="20"/>
              </w:rPr>
              <w:t>58</w:t>
            </w:r>
          </w:p>
        </w:tc>
        <w:tc>
          <w:tcPr>
            <w:tcW w:w="1344" w:type="dxa"/>
            <w:tcBorders>
              <w:top w:val="single" w:sz="6" w:space="0" w:color="auto"/>
              <w:left w:val="nil"/>
              <w:bottom w:val="nil"/>
              <w:right w:val="nil"/>
            </w:tcBorders>
            <w:shd w:val="clear" w:color="auto" w:fill="auto"/>
            <w:noWrap/>
            <w:vAlign w:val="bottom"/>
            <w:hideMark/>
          </w:tcPr>
          <w:p w:rsidR="006465DB" w:rsidRPr="006465DB" w:rsidRDefault="005B4811"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4</w:t>
            </w:r>
            <w:r w:rsidR="00046BE1">
              <w:rPr>
                <w:rFonts w:ascii="Times New Roman" w:eastAsia="Times New Roman" w:hAnsi="Times New Roman" w:cs="Times New Roman"/>
                <w:sz w:val="20"/>
                <w:szCs w:val="20"/>
              </w:rPr>
              <w:t>8.7</w:t>
            </w: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FC54EA">
            <w:pP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 xml:space="preserve">In Vitro Microsome Metaoblism </w:t>
            </w:r>
            <w:r w:rsidR="007A3FCF">
              <w:rPr>
                <w:rFonts w:ascii="Times New Roman" w:eastAsia="Times New Roman" w:hAnsi="Times New Roman" w:cs="Times New Roman"/>
                <w:sz w:val="20"/>
                <w:szCs w:val="20"/>
                <w:lang w:eastAsia="en-US"/>
              </w:rPr>
              <w:fldChar w:fldCharType="begin"/>
            </w:r>
            <w:r w:rsidR="00FC54EA">
              <w:rPr>
                <w:rFonts w:ascii="Times New Roman" w:eastAsia="Times New Roman" w:hAnsi="Times New Roman" w:cs="Times New Roman"/>
                <w:sz w:val="20"/>
                <w:szCs w:val="20"/>
                <w:lang w:eastAsia="en-US"/>
              </w:rPr>
              <w:instrText xml:space="preserve"> ADDIN EN.CITE &lt;EndNote&gt;&lt;Cite ExcludeYear="1"&gt;&lt;Author&gt;Smith&lt;/Author&gt;&lt;RecNum&gt;80&lt;/RecNum&gt;&lt;DisplayText&gt;&lt;style face="superscript"&gt;(18)&lt;/style&gt;&lt;/DisplayText&gt;&lt;record&gt;&lt;rec-number&gt;80&lt;/rec-number&gt;&lt;foreign-keys&gt;&lt;key app="EN" db-id="apt5x9twmavw5feppw2p0x27wdvz92ez0va2"&gt;80&lt;/key&gt;&lt;/foreign-keys&gt;&lt;ref-type name="Journal Article"&gt;17&lt;/ref-type&gt;&lt;contributors&gt;&lt;authors&gt;&lt;author&gt;Smith, J. N.&lt;/author&gt;&lt;author&gt;Timchalk, C.&lt;/author&gt;&lt;author&gt;Bartels, M. J.&lt;/author&gt;&lt;author&gt;Poet, T. S.&lt;/author&gt;&lt;/authors&gt;&lt;/contributors&gt;&lt;auth-address&gt;Battelle, Pacific Northwest Division, Richland, Washington, USA. jordan.smith@pnl.gov&lt;/auth-address&gt;&lt;titles&gt;&lt;title&gt;In vitro age-dependent enzymatic metabolism of chlorpyrifos and chlorpyrifos-oxon in human hepatic microsomes and chlorpyrifos-oxon in plasma&lt;/title&gt;&lt;secondary-title&gt;Drug Metab Dispos&lt;/secondary-title&gt;&lt;/titles&gt;&lt;periodical&gt;&lt;full-title&gt;Drug Metab Dispos&lt;/full-title&gt;&lt;/periodical&gt;&lt;pages&gt;1353-62&lt;/pages&gt;&lt;volume&gt;39&lt;/volume&gt;&lt;number&gt;8&lt;/number&gt;&lt;edition&gt;2011/04/28&lt;/edition&gt;&lt;dates&gt;&lt;pub-dates&gt;&lt;date&gt;Aug&lt;/date&gt;&lt;/pub-dates&gt;&lt;/dates&gt;&lt;isbn&gt;1521-009X (Electronic)&amp;#xD;0090-9556 (Linking)&lt;/isbn&gt;&lt;accession-num&gt;21521795&lt;/accession-num&gt;&lt;urls&gt;&lt;related-urls&gt;&lt;url&gt;http://www.ncbi.nlm.nih.gov/entrez/query.fcgi?cmd=Retrieve&amp;amp;db=PubMed&amp;amp;dopt=Citation&amp;amp;list_uids=21521795&lt;/url&gt;&lt;/related-urls&gt;&lt;/urls&gt;&lt;electronic-resource-num&gt;dmd.111.038745 [pii]&amp;#xD;10.1124/dmd.111.038745&lt;/electronic-resource-num&gt;&lt;language&gt;eng&lt;/language&gt;&lt;/record&gt;&lt;/Cite&gt;&lt;/EndNote&gt;</w:instrText>
            </w:r>
            <w:r w:rsidR="007A3FCF">
              <w:rPr>
                <w:rFonts w:ascii="Times New Roman" w:eastAsia="Times New Roman" w:hAnsi="Times New Roman" w:cs="Times New Roman"/>
                <w:sz w:val="20"/>
                <w:szCs w:val="20"/>
                <w:lang w:eastAsia="en-US"/>
              </w:rPr>
              <w:fldChar w:fldCharType="separate"/>
            </w:r>
            <w:r w:rsidR="00FC54EA" w:rsidRPr="00FC54EA">
              <w:rPr>
                <w:rFonts w:ascii="Times New Roman" w:eastAsia="Times New Roman" w:hAnsi="Times New Roman" w:cs="Times New Roman"/>
                <w:noProof/>
                <w:sz w:val="20"/>
                <w:szCs w:val="20"/>
                <w:vertAlign w:val="superscript"/>
                <w:lang w:eastAsia="en-US"/>
              </w:rPr>
              <w:t>(</w:t>
            </w:r>
            <w:hyperlink w:anchor="_ENREF_18" w:tooltip="Smith,  #80" w:history="1">
              <w:r w:rsidR="00FC54EA" w:rsidRPr="00FC54EA">
                <w:rPr>
                  <w:rFonts w:ascii="Times New Roman" w:eastAsia="Times New Roman" w:hAnsi="Times New Roman" w:cs="Times New Roman"/>
                  <w:noProof/>
                  <w:sz w:val="20"/>
                  <w:szCs w:val="20"/>
                  <w:vertAlign w:val="superscript"/>
                  <w:lang w:eastAsia="en-US"/>
                </w:rPr>
                <w:t>18</w:t>
              </w:r>
            </w:hyperlink>
            <w:r w:rsidR="00FC54EA" w:rsidRPr="00FC54EA">
              <w:rPr>
                <w:rFonts w:ascii="Times New Roman" w:eastAsia="Times New Roman" w:hAnsi="Times New Roman" w:cs="Times New Roman"/>
                <w:noProof/>
                <w:sz w:val="20"/>
                <w:szCs w:val="20"/>
                <w:vertAlign w:val="superscript"/>
                <w:lang w:eastAsia="en-US"/>
              </w:rPr>
              <w:t>)</w:t>
            </w:r>
            <w:r w:rsidR="007A3FCF">
              <w:rPr>
                <w:rFonts w:ascii="Times New Roman" w:eastAsia="Times New Roman" w:hAnsi="Times New Roman" w:cs="Times New Roman"/>
                <w:sz w:val="20"/>
                <w:szCs w:val="20"/>
                <w:lang w:eastAsia="en-US"/>
              </w:rPr>
              <w:fldChar w:fldCharType="end"/>
            </w:r>
          </w:p>
        </w:tc>
        <w:tc>
          <w:tcPr>
            <w:tcW w:w="990" w:type="dxa"/>
            <w:tcBorders>
              <w:top w:val="nil"/>
              <w:left w:val="nil"/>
              <w:bottom w:val="nil"/>
              <w:right w:val="nil"/>
            </w:tcBorders>
            <w:shd w:val="clear" w:color="auto" w:fill="auto"/>
            <w:noWrap/>
            <w:vAlign w:val="bottom"/>
            <w:hideMark/>
          </w:tcPr>
          <w:p w:rsidR="006465DB" w:rsidRPr="006465DB" w:rsidRDefault="00046BE1"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156</w:t>
            </w:r>
          </w:p>
        </w:tc>
        <w:tc>
          <w:tcPr>
            <w:tcW w:w="1114" w:type="dxa"/>
            <w:tcBorders>
              <w:top w:val="nil"/>
              <w:left w:val="nil"/>
              <w:bottom w:val="nil"/>
              <w:right w:val="nil"/>
            </w:tcBorders>
            <w:shd w:val="clear" w:color="auto" w:fill="auto"/>
            <w:noWrap/>
            <w:vAlign w:val="bottom"/>
            <w:hideMark/>
          </w:tcPr>
          <w:p w:rsidR="006465DB" w:rsidRPr="006465DB" w:rsidRDefault="00046BE1"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4.501</w:t>
            </w:r>
          </w:p>
        </w:tc>
        <w:tc>
          <w:tcPr>
            <w:tcW w:w="1046" w:type="dxa"/>
            <w:tcBorders>
              <w:top w:val="nil"/>
              <w:left w:val="nil"/>
              <w:bottom w:val="nil"/>
              <w:right w:val="nil"/>
            </w:tcBorders>
            <w:shd w:val="clear" w:color="auto" w:fill="auto"/>
            <w:noWrap/>
            <w:vAlign w:val="bottom"/>
            <w:hideMark/>
          </w:tcPr>
          <w:p w:rsidR="006465DB" w:rsidRPr="006465DB" w:rsidRDefault="00046BE1"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8.06</w:t>
            </w:r>
          </w:p>
        </w:tc>
        <w:tc>
          <w:tcPr>
            <w:tcW w:w="1344" w:type="dxa"/>
            <w:tcBorders>
              <w:top w:val="nil"/>
              <w:left w:val="nil"/>
              <w:bottom w:val="nil"/>
              <w:right w:val="nil"/>
            </w:tcBorders>
            <w:shd w:val="clear" w:color="auto" w:fill="auto"/>
            <w:noWrap/>
            <w:vAlign w:val="bottom"/>
            <w:hideMark/>
          </w:tcPr>
          <w:p w:rsidR="006465DB" w:rsidRPr="006465DB" w:rsidRDefault="00046BE1"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3040</w:t>
            </w: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b/>
                <w:sz w:val="20"/>
                <w:szCs w:val="20"/>
                <w:lang w:eastAsia="en-US"/>
              </w:rPr>
            </w:pPr>
            <w:r w:rsidRPr="006465DB">
              <w:rPr>
                <w:rFonts w:ascii="Times New Roman" w:eastAsia="Times New Roman" w:hAnsi="Times New Roman" w:cs="Times New Roman"/>
                <w:b/>
                <w:sz w:val="20"/>
                <w:szCs w:val="20"/>
                <w:lang w:eastAsia="en-US"/>
              </w:rPr>
              <w:t>2-way Comb.--Prior and In Vitro Microsome  Metab</w:t>
            </w:r>
          </w:p>
        </w:tc>
        <w:tc>
          <w:tcPr>
            <w:tcW w:w="990" w:type="dxa"/>
            <w:tcBorders>
              <w:top w:val="nil"/>
              <w:left w:val="nil"/>
              <w:bottom w:val="nil"/>
              <w:right w:val="nil"/>
            </w:tcBorders>
            <w:shd w:val="clear" w:color="auto" w:fill="auto"/>
            <w:noWrap/>
            <w:vAlign w:val="bottom"/>
            <w:hideMark/>
          </w:tcPr>
          <w:p w:rsidR="006465DB" w:rsidRPr="006465DB" w:rsidRDefault="0006373C"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24.5</w:t>
            </w:r>
          </w:p>
        </w:tc>
        <w:tc>
          <w:tcPr>
            <w:tcW w:w="1114" w:type="dxa"/>
            <w:tcBorders>
              <w:top w:val="nil"/>
              <w:left w:val="nil"/>
              <w:bottom w:val="nil"/>
              <w:right w:val="nil"/>
            </w:tcBorders>
            <w:shd w:val="clear" w:color="auto" w:fill="auto"/>
            <w:noWrap/>
            <w:vAlign w:val="bottom"/>
            <w:hideMark/>
          </w:tcPr>
          <w:p w:rsidR="006465DB" w:rsidRPr="006465DB" w:rsidRDefault="006465DB" w:rsidP="0006373C">
            <w:pPr>
              <w:jc w:val="center"/>
              <w:rPr>
                <w:rFonts w:ascii="Times New Roman" w:eastAsia="Times New Roman" w:hAnsi="Times New Roman" w:cs="Times New Roman"/>
                <w:b/>
                <w:sz w:val="20"/>
                <w:szCs w:val="20"/>
                <w:lang w:eastAsia="en-US"/>
              </w:rPr>
            </w:pPr>
            <w:r w:rsidRPr="006465DB">
              <w:rPr>
                <w:rFonts w:ascii="Times New Roman" w:eastAsia="Times New Roman" w:hAnsi="Times New Roman" w:cs="Times New Roman"/>
                <w:b/>
                <w:sz w:val="20"/>
                <w:szCs w:val="20"/>
              </w:rPr>
              <w:t>1.</w:t>
            </w:r>
            <w:r w:rsidR="0006373C">
              <w:rPr>
                <w:rFonts w:ascii="Times New Roman" w:eastAsia="Times New Roman" w:hAnsi="Times New Roman" w:cs="Times New Roman"/>
                <w:b/>
                <w:sz w:val="20"/>
                <w:szCs w:val="20"/>
              </w:rPr>
              <w:t>638</w:t>
            </w:r>
          </w:p>
        </w:tc>
        <w:tc>
          <w:tcPr>
            <w:tcW w:w="1046" w:type="dxa"/>
            <w:tcBorders>
              <w:top w:val="nil"/>
              <w:left w:val="nil"/>
              <w:bottom w:val="nil"/>
              <w:right w:val="nil"/>
            </w:tcBorders>
            <w:shd w:val="clear" w:color="auto" w:fill="auto"/>
            <w:noWrap/>
            <w:vAlign w:val="bottom"/>
            <w:hideMark/>
          </w:tcPr>
          <w:p w:rsidR="006465DB" w:rsidRPr="006465DB" w:rsidRDefault="00362762"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7.38</w:t>
            </w:r>
          </w:p>
        </w:tc>
        <w:tc>
          <w:tcPr>
            <w:tcW w:w="1344" w:type="dxa"/>
            <w:tcBorders>
              <w:top w:val="nil"/>
              <w:left w:val="nil"/>
              <w:bottom w:val="nil"/>
              <w:right w:val="nil"/>
            </w:tcBorders>
            <w:shd w:val="clear" w:color="auto" w:fill="auto"/>
            <w:noWrap/>
            <w:vAlign w:val="bottom"/>
            <w:hideMark/>
          </w:tcPr>
          <w:p w:rsidR="006465DB" w:rsidRPr="006465DB" w:rsidRDefault="00ED0FFE"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48.0</w:t>
            </w:r>
          </w:p>
        </w:tc>
      </w:tr>
      <w:tr w:rsidR="006465DB" w:rsidRPr="006465DB" w:rsidTr="009C66E2">
        <w:trPr>
          <w:trHeight w:val="240"/>
        </w:trPr>
        <w:tc>
          <w:tcPr>
            <w:tcW w:w="4860" w:type="dxa"/>
            <w:tcBorders>
              <w:top w:val="nil"/>
              <w:left w:val="nil"/>
              <w:bottom w:val="nil"/>
              <w:right w:val="nil"/>
            </w:tcBorders>
            <w:shd w:val="clear" w:color="auto" w:fill="auto"/>
            <w:noWrap/>
            <w:vAlign w:val="bottom"/>
          </w:tcPr>
          <w:p w:rsidR="006465DB" w:rsidRPr="006465DB" w:rsidRDefault="006465DB" w:rsidP="009C66E2">
            <w:pPr>
              <w:rPr>
                <w:rFonts w:ascii="Times New Roman" w:eastAsia="Times New Roman" w:hAnsi="Times New Roman" w:cs="Times New Roman"/>
                <w:sz w:val="20"/>
                <w:szCs w:val="20"/>
                <w:lang w:eastAsia="en-US"/>
              </w:rPr>
            </w:pPr>
          </w:p>
        </w:tc>
        <w:tc>
          <w:tcPr>
            <w:tcW w:w="990"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c>
          <w:tcPr>
            <w:tcW w:w="1114"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c>
          <w:tcPr>
            <w:tcW w:w="1046"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c>
          <w:tcPr>
            <w:tcW w:w="1344"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Nolan Oral Human Dosing Experiments</w:t>
            </w:r>
          </w:p>
        </w:tc>
        <w:tc>
          <w:tcPr>
            <w:tcW w:w="990" w:type="dxa"/>
            <w:tcBorders>
              <w:top w:val="nil"/>
              <w:left w:val="nil"/>
              <w:bottom w:val="nil"/>
              <w:right w:val="nil"/>
            </w:tcBorders>
            <w:shd w:val="clear" w:color="auto" w:fill="auto"/>
            <w:noWrap/>
            <w:vAlign w:val="bottom"/>
            <w:hideMark/>
          </w:tcPr>
          <w:p w:rsidR="006465DB" w:rsidRPr="006465DB" w:rsidRDefault="006465DB" w:rsidP="009C66E2">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rPr>
              <w:t>45.</w:t>
            </w:r>
            <w:r w:rsidR="000365DB">
              <w:rPr>
                <w:rFonts w:ascii="Times New Roman" w:eastAsia="Times New Roman" w:hAnsi="Times New Roman" w:cs="Times New Roman"/>
                <w:sz w:val="20"/>
                <w:szCs w:val="20"/>
              </w:rPr>
              <w:t>9</w:t>
            </w:r>
          </w:p>
        </w:tc>
        <w:tc>
          <w:tcPr>
            <w:tcW w:w="1114" w:type="dxa"/>
            <w:tcBorders>
              <w:top w:val="nil"/>
              <w:left w:val="nil"/>
              <w:bottom w:val="nil"/>
              <w:right w:val="nil"/>
            </w:tcBorders>
            <w:shd w:val="clear" w:color="auto" w:fill="auto"/>
            <w:noWrap/>
            <w:vAlign w:val="bottom"/>
            <w:hideMark/>
          </w:tcPr>
          <w:p w:rsidR="006465DB" w:rsidRPr="006465DB" w:rsidRDefault="00263922"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2.485</w:t>
            </w:r>
          </w:p>
        </w:tc>
        <w:tc>
          <w:tcPr>
            <w:tcW w:w="1046" w:type="dxa"/>
            <w:tcBorders>
              <w:top w:val="nil"/>
              <w:left w:val="nil"/>
              <w:bottom w:val="nil"/>
              <w:right w:val="nil"/>
            </w:tcBorders>
            <w:shd w:val="clear" w:color="auto" w:fill="auto"/>
            <w:noWrap/>
            <w:vAlign w:val="bottom"/>
            <w:hideMark/>
          </w:tcPr>
          <w:p w:rsidR="006465DB" w:rsidRPr="006465DB" w:rsidRDefault="00263922"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7.61</w:t>
            </w:r>
          </w:p>
        </w:tc>
        <w:tc>
          <w:tcPr>
            <w:tcW w:w="1344" w:type="dxa"/>
            <w:tcBorders>
              <w:top w:val="nil"/>
              <w:left w:val="nil"/>
              <w:bottom w:val="nil"/>
              <w:right w:val="nil"/>
            </w:tcBorders>
            <w:shd w:val="clear" w:color="auto" w:fill="auto"/>
            <w:noWrap/>
            <w:vAlign w:val="bottom"/>
            <w:hideMark/>
          </w:tcPr>
          <w:p w:rsidR="006465DB" w:rsidRPr="006465DB" w:rsidRDefault="00263922" w:rsidP="009C66E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276</w:t>
            </w: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b/>
                <w:sz w:val="20"/>
                <w:szCs w:val="20"/>
                <w:lang w:eastAsia="en-US"/>
              </w:rPr>
            </w:pPr>
            <w:r w:rsidRPr="006465DB">
              <w:rPr>
                <w:rFonts w:ascii="Times New Roman" w:eastAsia="Times New Roman" w:hAnsi="Times New Roman" w:cs="Times New Roman"/>
                <w:b/>
                <w:sz w:val="20"/>
                <w:szCs w:val="20"/>
                <w:lang w:eastAsia="en-US"/>
              </w:rPr>
              <w:t>3-way Comb. Excluding Kisicki</w:t>
            </w:r>
          </w:p>
        </w:tc>
        <w:tc>
          <w:tcPr>
            <w:tcW w:w="990" w:type="dxa"/>
            <w:tcBorders>
              <w:top w:val="nil"/>
              <w:left w:val="nil"/>
              <w:bottom w:val="nil"/>
              <w:right w:val="nil"/>
            </w:tcBorders>
            <w:shd w:val="clear" w:color="auto" w:fill="auto"/>
            <w:noWrap/>
            <w:vAlign w:val="bottom"/>
            <w:hideMark/>
          </w:tcPr>
          <w:p w:rsidR="006465DB" w:rsidRPr="006465DB" w:rsidRDefault="007115DF"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25.1</w:t>
            </w:r>
          </w:p>
        </w:tc>
        <w:tc>
          <w:tcPr>
            <w:tcW w:w="1114" w:type="dxa"/>
            <w:tcBorders>
              <w:top w:val="nil"/>
              <w:left w:val="nil"/>
              <w:bottom w:val="nil"/>
              <w:right w:val="nil"/>
            </w:tcBorders>
            <w:shd w:val="clear" w:color="auto" w:fill="auto"/>
            <w:noWrap/>
            <w:vAlign w:val="bottom"/>
            <w:hideMark/>
          </w:tcPr>
          <w:p w:rsidR="006465DB" w:rsidRPr="006465DB" w:rsidRDefault="006465DB" w:rsidP="007115DF">
            <w:pPr>
              <w:jc w:val="center"/>
              <w:rPr>
                <w:rFonts w:ascii="Times New Roman" w:eastAsia="Times New Roman" w:hAnsi="Times New Roman" w:cs="Times New Roman"/>
                <w:b/>
                <w:sz w:val="20"/>
                <w:szCs w:val="20"/>
                <w:lang w:eastAsia="en-US"/>
              </w:rPr>
            </w:pPr>
            <w:r w:rsidRPr="006465DB">
              <w:rPr>
                <w:rFonts w:ascii="Times New Roman" w:eastAsia="Times New Roman" w:hAnsi="Times New Roman" w:cs="Times New Roman"/>
                <w:b/>
                <w:sz w:val="20"/>
                <w:szCs w:val="20"/>
              </w:rPr>
              <w:t>1.</w:t>
            </w:r>
            <w:r w:rsidR="007115DF">
              <w:rPr>
                <w:rFonts w:ascii="Times New Roman" w:eastAsia="Times New Roman" w:hAnsi="Times New Roman" w:cs="Times New Roman"/>
                <w:b/>
                <w:sz w:val="20"/>
                <w:szCs w:val="20"/>
              </w:rPr>
              <w:t>469</w:t>
            </w:r>
          </w:p>
        </w:tc>
        <w:tc>
          <w:tcPr>
            <w:tcW w:w="1046" w:type="dxa"/>
            <w:tcBorders>
              <w:top w:val="nil"/>
              <w:left w:val="nil"/>
              <w:bottom w:val="nil"/>
              <w:right w:val="nil"/>
            </w:tcBorders>
            <w:shd w:val="clear" w:color="auto" w:fill="auto"/>
            <w:noWrap/>
            <w:vAlign w:val="bottom"/>
            <w:hideMark/>
          </w:tcPr>
          <w:p w:rsidR="006465DB" w:rsidRPr="006465DB" w:rsidRDefault="006E0CBA"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10.4</w:t>
            </w:r>
          </w:p>
        </w:tc>
        <w:tc>
          <w:tcPr>
            <w:tcW w:w="1344" w:type="dxa"/>
            <w:tcBorders>
              <w:top w:val="nil"/>
              <w:left w:val="nil"/>
              <w:bottom w:val="nil"/>
              <w:right w:val="nil"/>
            </w:tcBorders>
            <w:shd w:val="clear" w:color="auto" w:fill="auto"/>
            <w:noWrap/>
            <w:vAlign w:val="bottom"/>
            <w:hideMark/>
          </w:tcPr>
          <w:p w:rsidR="006465DB" w:rsidRPr="006465DB" w:rsidRDefault="001A27AC"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46.6</w:t>
            </w:r>
          </w:p>
        </w:tc>
      </w:tr>
      <w:tr w:rsidR="006465DB" w:rsidRPr="006465DB" w:rsidTr="009C66E2">
        <w:trPr>
          <w:trHeight w:val="240"/>
        </w:trPr>
        <w:tc>
          <w:tcPr>
            <w:tcW w:w="4860" w:type="dxa"/>
            <w:tcBorders>
              <w:top w:val="nil"/>
              <w:left w:val="nil"/>
              <w:bottom w:val="nil"/>
              <w:right w:val="nil"/>
            </w:tcBorders>
            <w:shd w:val="clear" w:color="auto" w:fill="auto"/>
            <w:noWrap/>
            <w:vAlign w:val="bottom"/>
          </w:tcPr>
          <w:p w:rsidR="006465DB" w:rsidRPr="006465DB" w:rsidRDefault="006465DB" w:rsidP="009C66E2">
            <w:pPr>
              <w:rPr>
                <w:rFonts w:ascii="Times New Roman" w:eastAsia="Times New Roman" w:hAnsi="Times New Roman" w:cs="Times New Roman"/>
                <w:sz w:val="20"/>
                <w:szCs w:val="20"/>
                <w:lang w:eastAsia="en-US"/>
              </w:rPr>
            </w:pPr>
          </w:p>
        </w:tc>
        <w:tc>
          <w:tcPr>
            <w:tcW w:w="990"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c>
          <w:tcPr>
            <w:tcW w:w="1114"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c>
          <w:tcPr>
            <w:tcW w:w="1046"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c>
          <w:tcPr>
            <w:tcW w:w="1344"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sz w:val="20"/>
                <w:szCs w:val="20"/>
                <w:lang w:eastAsia="en-US"/>
              </w:rPr>
            </w:pP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lang w:eastAsia="en-US"/>
              </w:rPr>
              <w:t>Kisicki Oral Human dosing Experiments</w:t>
            </w:r>
          </w:p>
        </w:tc>
        <w:tc>
          <w:tcPr>
            <w:tcW w:w="990" w:type="dxa"/>
            <w:tcBorders>
              <w:top w:val="nil"/>
              <w:left w:val="nil"/>
              <w:bottom w:val="nil"/>
              <w:right w:val="nil"/>
            </w:tcBorders>
            <w:shd w:val="clear" w:color="auto" w:fill="auto"/>
            <w:noWrap/>
            <w:vAlign w:val="bottom"/>
            <w:hideMark/>
          </w:tcPr>
          <w:p w:rsidR="006465DB" w:rsidRPr="006465DB" w:rsidRDefault="006465DB" w:rsidP="009C66E2">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rPr>
              <w:t>479</w:t>
            </w:r>
          </w:p>
        </w:tc>
        <w:tc>
          <w:tcPr>
            <w:tcW w:w="1114" w:type="dxa"/>
            <w:tcBorders>
              <w:top w:val="nil"/>
              <w:left w:val="nil"/>
              <w:bottom w:val="nil"/>
              <w:right w:val="nil"/>
            </w:tcBorders>
            <w:shd w:val="clear" w:color="auto" w:fill="auto"/>
            <w:noWrap/>
            <w:vAlign w:val="bottom"/>
            <w:hideMark/>
          </w:tcPr>
          <w:p w:rsidR="006465DB" w:rsidRPr="006465DB" w:rsidRDefault="006465DB" w:rsidP="009C66E2">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rPr>
              <w:t>2.29</w:t>
            </w:r>
            <w:r w:rsidR="00F3575A">
              <w:rPr>
                <w:rFonts w:ascii="Times New Roman" w:eastAsia="Times New Roman" w:hAnsi="Times New Roman" w:cs="Times New Roman"/>
                <w:sz w:val="20"/>
                <w:szCs w:val="20"/>
              </w:rPr>
              <w:t>5</w:t>
            </w:r>
          </w:p>
        </w:tc>
        <w:tc>
          <w:tcPr>
            <w:tcW w:w="1046" w:type="dxa"/>
            <w:tcBorders>
              <w:top w:val="nil"/>
              <w:left w:val="nil"/>
              <w:bottom w:val="nil"/>
              <w:right w:val="nil"/>
            </w:tcBorders>
            <w:shd w:val="clear" w:color="auto" w:fill="auto"/>
            <w:noWrap/>
            <w:vAlign w:val="bottom"/>
            <w:hideMark/>
          </w:tcPr>
          <w:p w:rsidR="006465DB" w:rsidRPr="006465DB" w:rsidRDefault="006465DB" w:rsidP="009C66E2">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rPr>
              <w:t>93.</w:t>
            </w:r>
            <w:r w:rsidR="00974E28">
              <w:rPr>
                <w:rFonts w:ascii="Times New Roman" w:eastAsia="Times New Roman" w:hAnsi="Times New Roman" w:cs="Times New Roman"/>
                <w:sz w:val="20"/>
                <w:szCs w:val="20"/>
              </w:rPr>
              <w:t>1</w:t>
            </w:r>
          </w:p>
        </w:tc>
        <w:tc>
          <w:tcPr>
            <w:tcW w:w="1344" w:type="dxa"/>
            <w:tcBorders>
              <w:top w:val="nil"/>
              <w:left w:val="nil"/>
              <w:bottom w:val="nil"/>
              <w:right w:val="nil"/>
            </w:tcBorders>
            <w:shd w:val="clear" w:color="auto" w:fill="auto"/>
            <w:noWrap/>
            <w:vAlign w:val="bottom"/>
            <w:hideMark/>
          </w:tcPr>
          <w:p w:rsidR="006465DB" w:rsidRPr="006465DB" w:rsidRDefault="006465DB" w:rsidP="00974E28">
            <w:pPr>
              <w:jc w:val="center"/>
              <w:rPr>
                <w:rFonts w:ascii="Times New Roman" w:eastAsia="Times New Roman" w:hAnsi="Times New Roman" w:cs="Times New Roman"/>
                <w:sz w:val="20"/>
                <w:szCs w:val="20"/>
                <w:lang w:eastAsia="en-US"/>
              </w:rPr>
            </w:pPr>
            <w:r w:rsidRPr="006465DB">
              <w:rPr>
                <w:rFonts w:ascii="Times New Roman" w:eastAsia="Times New Roman" w:hAnsi="Times New Roman" w:cs="Times New Roman"/>
                <w:sz w:val="20"/>
                <w:szCs w:val="20"/>
              </w:rPr>
              <w:t>24</w:t>
            </w:r>
            <w:r w:rsidR="00974E28">
              <w:rPr>
                <w:rFonts w:ascii="Times New Roman" w:eastAsia="Times New Roman" w:hAnsi="Times New Roman" w:cs="Times New Roman"/>
                <w:sz w:val="20"/>
                <w:szCs w:val="20"/>
              </w:rPr>
              <w:t>60</w:t>
            </w: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b/>
                <w:sz w:val="20"/>
                <w:szCs w:val="20"/>
                <w:lang w:eastAsia="en-US"/>
              </w:rPr>
            </w:pPr>
            <w:r w:rsidRPr="006465DB">
              <w:rPr>
                <w:rFonts w:ascii="Times New Roman" w:eastAsia="Times New Roman" w:hAnsi="Times New Roman" w:cs="Times New Roman"/>
                <w:b/>
                <w:sz w:val="20"/>
                <w:szCs w:val="20"/>
                <w:lang w:eastAsia="en-US"/>
              </w:rPr>
              <w:t>3-way Comb excluding Nolan</w:t>
            </w:r>
          </w:p>
        </w:tc>
        <w:tc>
          <w:tcPr>
            <w:tcW w:w="990" w:type="dxa"/>
            <w:tcBorders>
              <w:top w:val="nil"/>
              <w:left w:val="nil"/>
              <w:bottom w:val="nil"/>
              <w:right w:val="nil"/>
            </w:tcBorders>
            <w:shd w:val="clear" w:color="auto" w:fill="auto"/>
            <w:noWrap/>
            <w:vAlign w:val="bottom"/>
            <w:hideMark/>
          </w:tcPr>
          <w:p w:rsidR="006465DB" w:rsidRPr="006465DB" w:rsidRDefault="002436F8"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35.3</w:t>
            </w:r>
          </w:p>
        </w:tc>
        <w:tc>
          <w:tcPr>
            <w:tcW w:w="1114" w:type="dxa"/>
            <w:tcBorders>
              <w:top w:val="nil"/>
              <w:left w:val="nil"/>
              <w:bottom w:val="nil"/>
              <w:right w:val="nil"/>
            </w:tcBorders>
            <w:shd w:val="clear" w:color="auto" w:fill="auto"/>
            <w:noWrap/>
            <w:vAlign w:val="bottom"/>
            <w:hideMark/>
          </w:tcPr>
          <w:p w:rsidR="006465DB" w:rsidRPr="006465DB" w:rsidRDefault="00F3575A" w:rsidP="00593520">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1.</w:t>
            </w:r>
            <w:r w:rsidR="00593520">
              <w:rPr>
                <w:rFonts w:ascii="Times New Roman" w:eastAsia="Times New Roman" w:hAnsi="Times New Roman" w:cs="Times New Roman"/>
                <w:b/>
                <w:sz w:val="20"/>
                <w:szCs w:val="20"/>
              </w:rPr>
              <w:t>289</w:t>
            </w:r>
          </w:p>
        </w:tc>
        <w:tc>
          <w:tcPr>
            <w:tcW w:w="1046" w:type="dxa"/>
            <w:tcBorders>
              <w:top w:val="nil"/>
              <w:left w:val="nil"/>
              <w:bottom w:val="nil"/>
              <w:right w:val="nil"/>
            </w:tcBorders>
            <w:shd w:val="clear" w:color="auto" w:fill="auto"/>
            <w:noWrap/>
            <w:vAlign w:val="bottom"/>
            <w:hideMark/>
          </w:tcPr>
          <w:p w:rsidR="006465DB" w:rsidRPr="006465DB" w:rsidRDefault="00803D02"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19.8</w:t>
            </w:r>
          </w:p>
        </w:tc>
        <w:tc>
          <w:tcPr>
            <w:tcW w:w="1344" w:type="dxa"/>
            <w:tcBorders>
              <w:top w:val="nil"/>
              <w:left w:val="nil"/>
              <w:bottom w:val="nil"/>
              <w:right w:val="nil"/>
            </w:tcBorders>
            <w:shd w:val="clear" w:color="auto" w:fill="auto"/>
            <w:noWrap/>
            <w:vAlign w:val="bottom"/>
            <w:hideMark/>
          </w:tcPr>
          <w:p w:rsidR="006465DB" w:rsidRPr="006465DB" w:rsidRDefault="00BC7F1B"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52.1</w:t>
            </w:r>
          </w:p>
        </w:tc>
      </w:tr>
      <w:tr w:rsidR="006465DB" w:rsidRPr="006465DB" w:rsidTr="009C66E2">
        <w:trPr>
          <w:trHeight w:val="240"/>
        </w:trPr>
        <w:tc>
          <w:tcPr>
            <w:tcW w:w="4860" w:type="dxa"/>
            <w:tcBorders>
              <w:top w:val="nil"/>
              <w:left w:val="nil"/>
              <w:bottom w:val="nil"/>
              <w:right w:val="nil"/>
            </w:tcBorders>
            <w:shd w:val="clear" w:color="auto" w:fill="auto"/>
            <w:noWrap/>
            <w:vAlign w:val="bottom"/>
          </w:tcPr>
          <w:p w:rsidR="006465DB" w:rsidRPr="006465DB" w:rsidRDefault="006465DB" w:rsidP="009C66E2">
            <w:pPr>
              <w:rPr>
                <w:rFonts w:ascii="Times New Roman" w:eastAsia="Times New Roman" w:hAnsi="Times New Roman" w:cs="Times New Roman"/>
                <w:b/>
                <w:sz w:val="20"/>
                <w:szCs w:val="20"/>
                <w:lang w:eastAsia="en-US"/>
              </w:rPr>
            </w:pPr>
          </w:p>
        </w:tc>
        <w:tc>
          <w:tcPr>
            <w:tcW w:w="990"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b/>
                <w:sz w:val="20"/>
                <w:szCs w:val="20"/>
                <w:lang w:eastAsia="en-US"/>
              </w:rPr>
            </w:pPr>
          </w:p>
        </w:tc>
        <w:tc>
          <w:tcPr>
            <w:tcW w:w="1114"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b/>
                <w:sz w:val="20"/>
                <w:szCs w:val="20"/>
                <w:lang w:eastAsia="en-US"/>
              </w:rPr>
            </w:pPr>
          </w:p>
        </w:tc>
        <w:tc>
          <w:tcPr>
            <w:tcW w:w="1046"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b/>
                <w:sz w:val="20"/>
                <w:szCs w:val="20"/>
                <w:lang w:eastAsia="en-US"/>
              </w:rPr>
            </w:pPr>
          </w:p>
        </w:tc>
        <w:tc>
          <w:tcPr>
            <w:tcW w:w="1344" w:type="dxa"/>
            <w:tcBorders>
              <w:top w:val="nil"/>
              <w:left w:val="nil"/>
              <w:bottom w:val="nil"/>
              <w:right w:val="nil"/>
            </w:tcBorders>
            <w:shd w:val="clear" w:color="auto" w:fill="auto"/>
            <w:noWrap/>
            <w:vAlign w:val="bottom"/>
          </w:tcPr>
          <w:p w:rsidR="006465DB" w:rsidRPr="006465DB" w:rsidRDefault="006465DB" w:rsidP="009C66E2">
            <w:pPr>
              <w:jc w:val="center"/>
              <w:rPr>
                <w:rFonts w:ascii="Times New Roman" w:eastAsia="Times New Roman" w:hAnsi="Times New Roman" w:cs="Times New Roman"/>
                <w:b/>
                <w:sz w:val="20"/>
                <w:szCs w:val="20"/>
                <w:lang w:eastAsia="en-US"/>
              </w:rPr>
            </w:pPr>
          </w:p>
        </w:tc>
      </w:tr>
      <w:tr w:rsidR="006465DB" w:rsidRPr="006465DB" w:rsidTr="009C66E2">
        <w:trPr>
          <w:trHeight w:val="240"/>
        </w:trPr>
        <w:tc>
          <w:tcPr>
            <w:tcW w:w="4860" w:type="dxa"/>
            <w:tcBorders>
              <w:top w:val="nil"/>
              <w:left w:val="nil"/>
              <w:bottom w:val="nil"/>
              <w:right w:val="nil"/>
            </w:tcBorders>
            <w:shd w:val="clear" w:color="auto" w:fill="auto"/>
            <w:noWrap/>
            <w:vAlign w:val="bottom"/>
            <w:hideMark/>
          </w:tcPr>
          <w:p w:rsidR="006465DB" w:rsidRPr="006465DB" w:rsidRDefault="006465DB" w:rsidP="009C66E2">
            <w:pPr>
              <w:rPr>
                <w:rFonts w:ascii="Times New Roman" w:eastAsia="Times New Roman" w:hAnsi="Times New Roman" w:cs="Times New Roman"/>
                <w:b/>
                <w:sz w:val="20"/>
                <w:szCs w:val="20"/>
                <w:lang w:eastAsia="en-US"/>
              </w:rPr>
            </w:pPr>
            <w:r w:rsidRPr="006465DB">
              <w:rPr>
                <w:rFonts w:ascii="Times New Roman" w:eastAsia="Times New Roman" w:hAnsi="Times New Roman" w:cs="Times New Roman"/>
                <w:b/>
                <w:sz w:val="20"/>
                <w:szCs w:val="20"/>
                <w:lang w:eastAsia="en-US"/>
              </w:rPr>
              <w:t>4-way Comb. including all</w:t>
            </w:r>
            <w:r w:rsidR="003F4943">
              <w:rPr>
                <w:rFonts w:ascii="Times New Roman" w:eastAsia="Times New Roman" w:hAnsi="Times New Roman" w:cs="Times New Roman"/>
                <w:b/>
                <w:sz w:val="20"/>
                <w:szCs w:val="20"/>
                <w:lang w:eastAsia="en-US"/>
              </w:rPr>
              <w:t xml:space="preserve"> sources of information</w:t>
            </w:r>
          </w:p>
        </w:tc>
        <w:tc>
          <w:tcPr>
            <w:tcW w:w="990" w:type="dxa"/>
            <w:tcBorders>
              <w:top w:val="nil"/>
              <w:left w:val="nil"/>
              <w:bottom w:val="nil"/>
              <w:right w:val="nil"/>
            </w:tcBorders>
            <w:shd w:val="clear" w:color="auto" w:fill="auto"/>
            <w:noWrap/>
            <w:vAlign w:val="bottom"/>
            <w:hideMark/>
          </w:tcPr>
          <w:p w:rsidR="006465DB" w:rsidRPr="006465DB" w:rsidRDefault="003F4943"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33.7</w:t>
            </w:r>
          </w:p>
        </w:tc>
        <w:tc>
          <w:tcPr>
            <w:tcW w:w="1114" w:type="dxa"/>
            <w:tcBorders>
              <w:top w:val="nil"/>
              <w:left w:val="nil"/>
              <w:bottom w:val="nil"/>
              <w:right w:val="nil"/>
            </w:tcBorders>
            <w:shd w:val="clear" w:color="auto" w:fill="auto"/>
            <w:noWrap/>
            <w:vAlign w:val="bottom"/>
            <w:hideMark/>
          </w:tcPr>
          <w:p w:rsidR="006465DB" w:rsidRPr="006465DB" w:rsidRDefault="001E37FB"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1.288</w:t>
            </w:r>
          </w:p>
        </w:tc>
        <w:tc>
          <w:tcPr>
            <w:tcW w:w="1046" w:type="dxa"/>
            <w:tcBorders>
              <w:top w:val="nil"/>
              <w:left w:val="nil"/>
              <w:bottom w:val="nil"/>
              <w:right w:val="nil"/>
            </w:tcBorders>
            <w:shd w:val="clear" w:color="auto" w:fill="auto"/>
            <w:noWrap/>
            <w:vAlign w:val="bottom"/>
            <w:hideMark/>
          </w:tcPr>
          <w:p w:rsidR="006465DB" w:rsidRPr="006465DB" w:rsidRDefault="001E37FB"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19.0</w:t>
            </w:r>
          </w:p>
        </w:tc>
        <w:tc>
          <w:tcPr>
            <w:tcW w:w="1344" w:type="dxa"/>
            <w:tcBorders>
              <w:top w:val="nil"/>
              <w:left w:val="nil"/>
              <w:bottom w:val="nil"/>
              <w:right w:val="nil"/>
            </w:tcBorders>
            <w:shd w:val="clear" w:color="auto" w:fill="auto"/>
            <w:noWrap/>
            <w:vAlign w:val="bottom"/>
            <w:hideMark/>
          </w:tcPr>
          <w:p w:rsidR="006465DB" w:rsidRPr="006465DB" w:rsidRDefault="00752830" w:rsidP="009C66E2">
            <w:pPr>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49.9</w:t>
            </w:r>
          </w:p>
        </w:tc>
      </w:tr>
    </w:tbl>
    <w:p w:rsidR="006465DB" w:rsidRDefault="006465DB" w:rsidP="006465DB"/>
    <w:p w:rsidR="006465DB" w:rsidRDefault="006465DB" w:rsidP="006465DB"/>
    <w:p w:rsidR="00191DA3" w:rsidRDefault="00BB27AA" w:rsidP="00191DA3">
      <w:pPr>
        <w:pStyle w:val="Body2"/>
      </w:pPr>
      <w:r>
        <w:br w:type="page"/>
      </w:r>
      <w:r w:rsidR="00191DA3">
        <w:lastRenderedPageBreak/>
        <w:t>Overall, it can be seen that chlorpyrifos absorbed via the oral route is expected to have a slightly smaller and more uncertain impact in raising blood levels than chlorpyrifos absorbed via inhalation.  Based on all four sources of information, final geometric mean estimates of the dose/blood ratio differ by a little more than 20% between the two routes (33.7/27.6 = 1.22).  This difference is solely due to “first pass” metabolism in the liver, and does not reflect any assumption about the fraction absorbed via oral vs inhalation exposures.  If oral absorption is less than complete, that should be reflected in an additional factor added to assessments of absorbed dose in relation to external exposures.</w:t>
      </w:r>
    </w:p>
    <w:p w:rsidR="00191DA3" w:rsidRDefault="00191DA3" w:rsidP="00191DA3">
      <w:pPr>
        <w:pStyle w:val="Body2"/>
      </w:pPr>
      <w:r>
        <w:t>As indicated earlier, the current EPA position is that it is barred from using the Kisicki data because of deficiencies in the informed consent procedures used by the investigators.  The effect of this is to lower the central estimate dose/blood level ratios by about a quarter for both routes of absorption.  This would correspondingly increase the expected potency of chlorpyrifos for inducing developmental effects.  Additionally excluding the Kiskicki data increases the estimated uncertainty in the dose/blood level ratios with 2.5-97.5 fractile ranges increasing to 2.7 fold for inhalation absorption and 4.5 fold for oral absorption.</w:t>
      </w:r>
    </w:p>
    <w:p w:rsidR="00191DA3" w:rsidRDefault="00191DA3" w:rsidP="00191DA3">
      <w:pPr>
        <w:pStyle w:val="Body2"/>
      </w:pPr>
      <w:r>
        <w:t>A final feature of methodological interest is that despite substantial uncertainty, the exercise of developing the “prior” bounding estimates does turn out to have an appreciable influence on the final results.  In particular the upper limit on the potential absorbed dose/blood level ratios developed by comparing the observed ratios of mean chlorpyrifos metabolite excretion to mean chlorpyrifos blood levels in the Columbia University data appreciably narrowed the range of oral dose/blood level ratios that would otherwise have been inferred from the statistically strong Kisicki data.</w:t>
      </w:r>
    </w:p>
    <w:p w:rsidR="00960004" w:rsidRDefault="00960004" w:rsidP="00960004">
      <w:pPr>
        <w:pStyle w:val="Heading1"/>
      </w:pPr>
      <w:bookmarkStart w:id="7" w:name="_Toc223068339"/>
      <w:r>
        <w:t>4.  Preliminary Implications for the Potency of Chlorpyrifos for Inducing Modest Impairments in Neurological Development</w:t>
      </w:r>
      <w:bookmarkEnd w:id="7"/>
      <w:r>
        <w:t xml:space="preserve"> </w:t>
      </w:r>
    </w:p>
    <w:p w:rsidR="00960004" w:rsidRDefault="00960004" w:rsidP="00600834">
      <w:pPr>
        <w:rPr>
          <w:b/>
        </w:rPr>
      </w:pPr>
    </w:p>
    <w:p w:rsidR="00803542" w:rsidRDefault="00C00A6F" w:rsidP="00600834">
      <w:pPr>
        <w:rPr>
          <w:rFonts w:ascii="Times New Roman" w:hAnsi="Times New Roman" w:cs="Times New Roman"/>
        </w:rPr>
      </w:pPr>
      <w:r w:rsidRPr="00C00A6F">
        <w:rPr>
          <w:rFonts w:ascii="Times New Roman" w:hAnsi="Times New Roman" w:cs="Times New Roman"/>
        </w:rPr>
        <w:t>Both IQ and the measure of working memory found to be significantly affected at age 7 in the Columbia work</w:t>
      </w:r>
      <w:r w:rsidRPr="00C00A6F">
        <w:t xml:space="preserve"> </w:t>
      </w:r>
      <w:r w:rsidR="007A3FCF">
        <w:rPr>
          <w:rFonts w:ascii="Times New Roman" w:hAnsi="Times New Roman" w:cs="Times New Roman"/>
        </w:rPr>
        <w:fldChar w:fldCharType="begin"/>
      </w:r>
      <w:r>
        <w:rPr>
          <w:rFonts w:ascii="Times New Roman" w:hAnsi="Times New Roman" w:cs="Times New Roman"/>
        </w:rPr>
        <w:instrText xml:space="preserve"> ADDIN EN.CITE &lt;EndNote&gt;&lt;Cite&gt;&lt;Author&gt;Rauh&lt;/Author&gt;&lt;Year&gt;2011&lt;/Year&gt;&lt;RecNum&gt;90&lt;/RecNum&gt;&lt;DisplayText&gt;&lt;style face="superscript"&gt;(2)&lt;/style&gt;&lt;/DisplayText&gt;&lt;record&gt;&lt;rec-number&gt;90&lt;/rec-number&gt;&lt;foreign-keys&gt;&lt;key app="EN" db-id="apt5x9twmavw5feppw2p0x27wdvz92ez0va2"&gt;90&lt;/key&gt;&lt;/foreign-keys&gt;&lt;ref-type name="Journal Article"&gt;17&lt;/ref-type&gt;&lt;contributors&gt;&lt;authors&gt;&lt;author&gt;Rauh, V.&lt;/author&gt;&lt;author&gt;Arunajadai, S.&lt;/author&gt;&lt;author&gt;Horton, M.&lt;/author&gt;&lt;author&gt;Perera, F.&lt;/author&gt;&lt;author&gt;Hoepner, L.&lt;/author&gt;&lt;author&gt;Barr, D. B.&lt;/author&gt;&lt;author&gt;Whyatt, R.&lt;/author&gt;&lt;/authors&gt;&lt;/contributors&gt;&lt;auth-address&gt;Heilbrunn Center for Population and Family Health, Mailman School of Public Health.&lt;/auth-address&gt;&lt;titles&gt;&lt;title&gt;Seven-year neurodevelopmental scores and prenatal exposure to chlorpyrifos, a common agricultural pesticide&lt;/title&gt;&lt;secondary-title&gt;Environ Health Perspect&lt;/secondary-title&gt;&lt;/titles&gt;&lt;periodical&gt;&lt;full-title&gt;Environ Health Perspect&lt;/full-title&gt;&lt;/periodical&gt;&lt;pages&gt;1196-201&lt;/pages&gt;&lt;volume&gt;119&lt;/volume&gt;&lt;number&gt;8&lt;/number&gt;&lt;edition&gt;2011/04/22&lt;/edition&gt;&lt;dates&gt;&lt;year&gt;2011&lt;/year&gt;&lt;pub-dates&gt;&lt;date&gt;Aug&lt;/date&gt;&lt;/pub-dates&gt;&lt;/dates&gt;&lt;isbn&gt;1552-9924 (Electronic)&amp;#xD;0091-6765 (Linking)&lt;/isbn&gt;&lt;accession-num&gt;21507777&lt;/accession-num&gt;&lt;urls&gt;&lt;related-urls&gt;&lt;url&gt;http://www.ncbi.nlm.nih.gov/entrez/query.fcgi?cmd=Retrieve&amp;amp;db=PubMed&amp;amp;dopt=Citation&amp;amp;list_uids=21507777&lt;/url&gt;&lt;/related-urls&gt;&lt;/urls&gt;&lt;electronic-resource-num&gt;10.1289/ehp.1003160&lt;/electronic-resource-num&gt;&lt;language&gt;eng&lt;/language&gt;&lt;/record&gt;&lt;/Cite&gt;&lt;/EndNote&gt;</w:instrText>
      </w:r>
      <w:r w:rsidR="007A3FCF">
        <w:rPr>
          <w:rFonts w:ascii="Times New Roman" w:hAnsi="Times New Roman" w:cs="Times New Roman"/>
        </w:rPr>
        <w:fldChar w:fldCharType="separate"/>
      </w:r>
      <w:r w:rsidRPr="00C00A6F">
        <w:rPr>
          <w:rFonts w:ascii="Times New Roman" w:hAnsi="Times New Roman" w:cs="Times New Roman"/>
          <w:noProof/>
          <w:vertAlign w:val="superscript"/>
        </w:rPr>
        <w:t>(</w:t>
      </w:r>
      <w:hyperlink w:anchor="_ENREF_2" w:tooltip="Rauh, 2011 #90" w:history="1">
        <w:r w:rsidR="00FC54EA" w:rsidRPr="00C00A6F">
          <w:rPr>
            <w:rFonts w:ascii="Times New Roman" w:hAnsi="Times New Roman" w:cs="Times New Roman"/>
            <w:noProof/>
            <w:vertAlign w:val="superscript"/>
          </w:rPr>
          <w:t>2</w:t>
        </w:r>
      </w:hyperlink>
      <w:r w:rsidRPr="00C00A6F">
        <w:rPr>
          <w:rFonts w:ascii="Times New Roman" w:hAnsi="Times New Roman" w:cs="Times New Roman"/>
          <w:noProof/>
          <w:vertAlign w:val="superscript"/>
        </w:rPr>
        <w:t>)</w:t>
      </w:r>
      <w:r w:rsidR="007A3FCF">
        <w:rPr>
          <w:rFonts w:ascii="Times New Roman" w:hAnsi="Times New Roman" w:cs="Times New Roman"/>
        </w:rPr>
        <w:fldChar w:fldCharType="end"/>
      </w:r>
      <w:r w:rsidRPr="00C00A6F">
        <w:rPr>
          <w:rFonts w:ascii="Times New Roman" w:hAnsi="Times New Roman" w:cs="Times New Roman"/>
        </w:rPr>
        <w:t xml:space="preserve"> are indexes of function defined as having a mean of 100 and a standard deviation of 15 in a normal population.</w:t>
      </w:r>
      <w:r w:rsidR="00803542">
        <w:rPr>
          <w:rFonts w:ascii="Times New Roman" w:hAnsi="Times New Roman" w:cs="Times New Roman"/>
        </w:rPr>
        <w:t xml:space="preserve">  Regression analyses controlling for confounders (</w:t>
      </w:r>
      <w:r w:rsidR="00BD0AD9">
        <w:rPr>
          <w:rFonts w:ascii="Times New Roman" w:hAnsi="Times New Roman" w:cs="Times New Roman"/>
        </w:rPr>
        <w:t>home observation for measureme</w:t>
      </w:r>
      <w:r w:rsidR="00C6010C">
        <w:rPr>
          <w:rFonts w:ascii="Times New Roman" w:hAnsi="Times New Roman" w:cs="Times New Roman"/>
        </w:rPr>
        <w:t xml:space="preserve">nt of the environment; sex of the child; completed years of maternal education, </w:t>
      </w:r>
      <w:r w:rsidR="00BD0AD9">
        <w:rPr>
          <w:rFonts w:ascii="Times New Roman" w:hAnsi="Times New Roman" w:cs="Times New Roman"/>
        </w:rPr>
        <w:t>maternal IQ, race/ethnicity, annual income less than $20,000/year, second-hand smoke exposure in pregnancy, polycyclic aromatic hydrocarbons measured by personal air sampling, and exact child age at testing</w:t>
      </w:r>
      <w:r w:rsidR="00803542">
        <w:rPr>
          <w:rFonts w:ascii="Times New Roman" w:hAnsi="Times New Roman" w:cs="Times New Roman"/>
        </w:rPr>
        <w:t>) yielded the following estimates of effect</w:t>
      </w:r>
      <w:r w:rsidR="00C6010C">
        <w:rPr>
          <w:rFonts w:ascii="Times New Roman" w:hAnsi="Times New Roman" w:cs="Times New Roman"/>
        </w:rPr>
        <w:t xml:space="preserve"> </w:t>
      </w:r>
      <w:r w:rsidR="00803542">
        <w:rPr>
          <w:rFonts w:ascii="Times New Roman" w:hAnsi="Times New Roman" w:cs="Times New Roman"/>
        </w:rPr>
        <w:t>s</w:t>
      </w:r>
      <w:r w:rsidR="00C6010C">
        <w:rPr>
          <w:rFonts w:ascii="Times New Roman" w:hAnsi="Times New Roman" w:cs="Times New Roman"/>
        </w:rPr>
        <w:t>izes</w:t>
      </w:r>
      <w:r w:rsidR="00803542">
        <w:rPr>
          <w:rFonts w:ascii="Times New Roman" w:hAnsi="Times New Roman" w:cs="Times New Roman"/>
        </w:rPr>
        <w:t>:</w:t>
      </w:r>
    </w:p>
    <w:p w:rsidR="00803542" w:rsidRDefault="00803542" w:rsidP="00600834">
      <w:pPr>
        <w:rPr>
          <w:rFonts w:ascii="Times New Roman" w:hAnsi="Times New Roman" w:cs="Times New Roman"/>
        </w:rPr>
      </w:pPr>
    </w:p>
    <w:p w:rsidR="00803542" w:rsidRDefault="00803542" w:rsidP="00600834">
      <w:pPr>
        <w:rPr>
          <w:rFonts w:ascii="Times New Roman" w:hAnsi="Times New Roman" w:cs="Times New Roman"/>
        </w:rPr>
      </w:pPr>
      <w:r>
        <w:rPr>
          <w:rFonts w:ascii="Times New Roman" w:hAnsi="Times New Roman" w:cs="Times New Roman"/>
        </w:rPr>
        <w:t>Ln(Working memory)</w:t>
      </w:r>
      <w:r w:rsidR="00C6010C">
        <w:rPr>
          <w:rFonts w:ascii="Times New Roman" w:hAnsi="Times New Roman" w:cs="Times New Roman"/>
        </w:rPr>
        <w:t xml:space="preserve">—0.006 decrease per pg CPF/g </w:t>
      </w:r>
      <w:r w:rsidR="005E0FFA">
        <w:rPr>
          <w:rFonts w:ascii="Times New Roman" w:hAnsi="Times New Roman" w:cs="Times New Roman"/>
        </w:rPr>
        <w:t xml:space="preserve">cord </w:t>
      </w:r>
      <w:r w:rsidR="00F356BD">
        <w:rPr>
          <w:rFonts w:ascii="Times New Roman" w:hAnsi="Times New Roman" w:cs="Times New Roman"/>
        </w:rPr>
        <w:t xml:space="preserve">blood </w:t>
      </w:r>
      <w:r w:rsidR="005E0FFA">
        <w:rPr>
          <w:rFonts w:ascii="Times New Roman" w:hAnsi="Times New Roman" w:cs="Times New Roman"/>
        </w:rPr>
        <w:t>plasma</w:t>
      </w:r>
      <w:r w:rsidR="00C6010C">
        <w:rPr>
          <w:rFonts w:ascii="Times New Roman" w:hAnsi="Times New Roman" w:cs="Times New Roman"/>
        </w:rPr>
        <w:t xml:space="preserve"> (95% CL = 0.002 – </w:t>
      </w:r>
      <w:r w:rsidR="00F356BD">
        <w:rPr>
          <w:rFonts w:ascii="Times New Roman" w:hAnsi="Times New Roman" w:cs="Times New Roman"/>
        </w:rPr>
        <w:br/>
        <w:t xml:space="preserve">        </w:t>
      </w:r>
      <w:r w:rsidR="00C6010C">
        <w:rPr>
          <w:rFonts w:ascii="Times New Roman" w:hAnsi="Times New Roman" w:cs="Times New Roman"/>
        </w:rPr>
        <w:t>0.01) p = 0.003</w:t>
      </w:r>
    </w:p>
    <w:p w:rsidR="008D3541" w:rsidRPr="00C00A6F" w:rsidRDefault="00803542" w:rsidP="00600834">
      <w:pPr>
        <w:rPr>
          <w:rFonts w:ascii="Times New Roman" w:hAnsi="Times New Roman" w:cs="Times New Roman"/>
        </w:rPr>
      </w:pPr>
      <w:r>
        <w:rPr>
          <w:rFonts w:ascii="Times New Roman" w:hAnsi="Times New Roman" w:cs="Times New Roman"/>
        </w:rPr>
        <w:t>Ln(Full scale IQ)</w:t>
      </w:r>
      <w:r w:rsidR="00C6010C">
        <w:rPr>
          <w:rFonts w:ascii="Times New Roman" w:hAnsi="Times New Roman" w:cs="Times New Roman"/>
        </w:rPr>
        <w:t xml:space="preserve">—0.003 decrease per pg CPF/g </w:t>
      </w:r>
      <w:r w:rsidR="005E0FFA">
        <w:rPr>
          <w:rFonts w:ascii="Times New Roman" w:hAnsi="Times New Roman" w:cs="Times New Roman"/>
        </w:rPr>
        <w:t xml:space="preserve">cord </w:t>
      </w:r>
      <w:r w:rsidR="00F356BD">
        <w:rPr>
          <w:rFonts w:ascii="Times New Roman" w:hAnsi="Times New Roman" w:cs="Times New Roman"/>
        </w:rPr>
        <w:t xml:space="preserve">blood </w:t>
      </w:r>
      <w:r w:rsidR="005E0FFA">
        <w:rPr>
          <w:rFonts w:ascii="Times New Roman" w:hAnsi="Times New Roman" w:cs="Times New Roman"/>
        </w:rPr>
        <w:t>plasma</w:t>
      </w:r>
      <w:r w:rsidR="00C6010C">
        <w:rPr>
          <w:rFonts w:ascii="Times New Roman" w:hAnsi="Times New Roman" w:cs="Times New Roman"/>
        </w:rPr>
        <w:t xml:space="preserve"> (95% CL = 0.000 – 0.006) </w:t>
      </w:r>
      <w:r w:rsidR="00F356BD">
        <w:rPr>
          <w:rFonts w:ascii="Times New Roman" w:hAnsi="Times New Roman" w:cs="Times New Roman"/>
        </w:rPr>
        <w:br/>
        <w:t xml:space="preserve">        </w:t>
      </w:r>
      <w:r w:rsidR="00C6010C">
        <w:rPr>
          <w:rFonts w:ascii="Times New Roman" w:hAnsi="Times New Roman" w:cs="Times New Roman"/>
        </w:rPr>
        <w:t xml:space="preserve">p </w:t>
      </w:r>
      <w:r w:rsidR="00F356BD">
        <w:rPr>
          <w:rFonts w:ascii="Times New Roman" w:hAnsi="Times New Roman" w:cs="Times New Roman"/>
        </w:rPr>
        <w:t xml:space="preserve"> </w:t>
      </w:r>
      <w:r w:rsidR="00C6010C">
        <w:rPr>
          <w:rFonts w:ascii="Times New Roman" w:hAnsi="Times New Roman" w:cs="Times New Roman"/>
        </w:rPr>
        <w:t>= 0.05.</w:t>
      </w:r>
      <w:r w:rsidR="00C00A6F" w:rsidRPr="00C00A6F">
        <w:rPr>
          <w:rFonts w:ascii="Times New Roman" w:hAnsi="Times New Roman" w:cs="Times New Roman"/>
        </w:rPr>
        <w:t xml:space="preserve"> </w:t>
      </w:r>
    </w:p>
    <w:p w:rsidR="008D3541" w:rsidRDefault="008D3541" w:rsidP="00600834">
      <w:pPr>
        <w:rPr>
          <w:rFonts w:ascii="Times New Roman" w:hAnsi="Times New Roman" w:cs="Times New Roman"/>
        </w:rPr>
      </w:pPr>
    </w:p>
    <w:p w:rsidR="002D4A13" w:rsidRDefault="002D4A13" w:rsidP="00600834">
      <w:pPr>
        <w:rPr>
          <w:rFonts w:ascii="Times New Roman" w:hAnsi="Times New Roman" w:cs="Times New Roman"/>
        </w:rPr>
      </w:pPr>
      <w:r>
        <w:rPr>
          <w:rFonts w:ascii="Times New Roman" w:hAnsi="Times New Roman" w:cs="Times New Roman"/>
        </w:rPr>
        <w:t xml:space="preserve">For modest levels of CPF in cord blood (1-10 pg/g) the effects on </w:t>
      </w:r>
      <w:r w:rsidR="003A475D">
        <w:rPr>
          <w:rFonts w:ascii="Times New Roman" w:hAnsi="Times New Roman" w:cs="Times New Roman"/>
        </w:rPr>
        <w:t xml:space="preserve">population mean </w:t>
      </w:r>
      <w:r>
        <w:rPr>
          <w:rFonts w:ascii="Times New Roman" w:hAnsi="Times New Roman" w:cs="Times New Roman"/>
        </w:rPr>
        <w:t>IQ expected from these relationships are very nearly linear—thus for full scale IQ the cent</w:t>
      </w:r>
      <w:r w:rsidR="003A475D">
        <w:rPr>
          <w:rFonts w:ascii="Times New Roman" w:hAnsi="Times New Roman" w:cs="Times New Roman"/>
        </w:rPr>
        <w:t xml:space="preserve">ral estimate is for a </w:t>
      </w:r>
      <w:r w:rsidR="003A475D">
        <w:rPr>
          <w:rFonts w:ascii="Times New Roman" w:hAnsi="Times New Roman" w:cs="Times New Roman"/>
        </w:rPr>
        <w:lastRenderedPageBreak/>
        <w:t xml:space="preserve">change in the population mean IQ of -0.300 points at 1 pg/g and </w:t>
      </w:r>
      <w:r w:rsidR="00EB5565">
        <w:rPr>
          <w:rFonts w:ascii="Times New Roman" w:hAnsi="Times New Roman" w:cs="Times New Roman"/>
        </w:rPr>
        <w:t>-</w:t>
      </w:r>
      <w:r w:rsidR="003A475D">
        <w:rPr>
          <w:rFonts w:ascii="Times New Roman" w:hAnsi="Times New Roman" w:cs="Times New Roman"/>
        </w:rPr>
        <w:t xml:space="preserve">2.95 IQ points for a concentration of 10 pg/g. </w:t>
      </w:r>
      <w:r>
        <w:rPr>
          <w:rFonts w:ascii="Times New Roman" w:hAnsi="Times New Roman" w:cs="Times New Roman"/>
        </w:rPr>
        <w:t xml:space="preserve"> </w:t>
      </w:r>
    </w:p>
    <w:p w:rsidR="002D4A13" w:rsidRDefault="002D4A13" w:rsidP="00600834">
      <w:pPr>
        <w:rPr>
          <w:rFonts w:ascii="Times New Roman" w:hAnsi="Times New Roman" w:cs="Times New Roman"/>
        </w:rPr>
      </w:pPr>
    </w:p>
    <w:p w:rsidR="00BD0AD9" w:rsidRDefault="00F356BD" w:rsidP="00600834">
      <w:pPr>
        <w:rPr>
          <w:rFonts w:ascii="Times New Roman" w:hAnsi="Times New Roman" w:cs="Times New Roman"/>
        </w:rPr>
      </w:pPr>
      <w:r>
        <w:rPr>
          <w:rFonts w:ascii="Times New Roman" w:hAnsi="Times New Roman" w:cs="Times New Roman"/>
        </w:rPr>
        <w:t xml:space="preserve">Bringing these relationships together with our earlier estimates of dose/maternal blood plasma CPF </w:t>
      </w:r>
      <w:r w:rsidR="000B5A5B">
        <w:rPr>
          <w:rFonts w:ascii="Times New Roman" w:hAnsi="Times New Roman" w:cs="Times New Roman"/>
        </w:rPr>
        <w:t xml:space="preserve">and associated pharmacokinetic uncertainty </w:t>
      </w:r>
      <w:r>
        <w:rPr>
          <w:rFonts w:ascii="Times New Roman" w:hAnsi="Times New Roman" w:cs="Times New Roman"/>
        </w:rPr>
        <w:t xml:space="preserve">requires a conversion between </w:t>
      </w:r>
      <w:r w:rsidR="00230893">
        <w:rPr>
          <w:rFonts w:ascii="Times New Roman" w:hAnsi="Times New Roman" w:cs="Times New Roman"/>
        </w:rPr>
        <w:t>maternal and cord blood plasma.  Based on 338 paired observations from the Columbia University data in maternal and cord blood mean CPF levels ±</w:t>
      </w:r>
      <w:r>
        <w:rPr>
          <w:rFonts w:ascii="Times New Roman" w:hAnsi="Times New Roman" w:cs="Times New Roman"/>
        </w:rPr>
        <w:t xml:space="preserve"> </w:t>
      </w:r>
      <w:r w:rsidR="00230893">
        <w:rPr>
          <w:rFonts w:ascii="Times New Roman" w:hAnsi="Times New Roman" w:cs="Times New Roman"/>
        </w:rPr>
        <w:t xml:space="preserve">standard errors were 2.88 ± 0.26 pg/g for maternal </w:t>
      </w:r>
      <w:r w:rsidR="00EA7FA5">
        <w:rPr>
          <w:rFonts w:ascii="Times New Roman" w:hAnsi="Times New Roman" w:cs="Times New Roman"/>
        </w:rPr>
        <w:t xml:space="preserve">blood </w:t>
      </w:r>
      <w:r w:rsidR="00230893">
        <w:rPr>
          <w:rFonts w:ascii="Times New Roman" w:hAnsi="Times New Roman" w:cs="Times New Roman"/>
        </w:rPr>
        <w:t xml:space="preserve">plasma compared to 3.26 ± 0.40 pg/g for </w:t>
      </w:r>
      <w:r w:rsidR="00EA7FA5">
        <w:rPr>
          <w:rFonts w:ascii="Times New Roman" w:hAnsi="Times New Roman" w:cs="Times New Roman"/>
        </w:rPr>
        <w:t xml:space="preserve">fetal </w:t>
      </w:r>
      <w:r w:rsidR="00230893">
        <w:rPr>
          <w:rFonts w:ascii="Times New Roman" w:hAnsi="Times New Roman" w:cs="Times New Roman"/>
        </w:rPr>
        <w:t xml:space="preserve">cord </w:t>
      </w:r>
      <w:r w:rsidR="00EA7FA5">
        <w:rPr>
          <w:rFonts w:ascii="Times New Roman" w:hAnsi="Times New Roman" w:cs="Times New Roman"/>
        </w:rPr>
        <w:t xml:space="preserve">blood </w:t>
      </w:r>
      <w:r w:rsidR="00235F91">
        <w:rPr>
          <w:rFonts w:ascii="Times New Roman" w:hAnsi="Times New Roman" w:cs="Times New Roman"/>
        </w:rPr>
        <w:t xml:space="preserve">plasma.  Based on a total of 15,000 trials of these distributions, </w:t>
      </w:r>
      <w:r w:rsidR="00230893">
        <w:rPr>
          <w:rFonts w:ascii="Times New Roman" w:hAnsi="Times New Roman" w:cs="Times New Roman"/>
        </w:rPr>
        <w:t>a</w:t>
      </w:r>
      <w:r w:rsidR="00EA7FA5">
        <w:rPr>
          <w:rFonts w:ascii="Times New Roman" w:hAnsi="Times New Roman" w:cs="Times New Roman"/>
        </w:rPr>
        <w:t xml:space="preserve"> mean estimate of</w:t>
      </w:r>
      <w:r w:rsidR="00230893">
        <w:rPr>
          <w:rFonts w:ascii="Times New Roman" w:hAnsi="Times New Roman" w:cs="Times New Roman"/>
        </w:rPr>
        <w:t xml:space="preserve"> maternal/cord concentration ratio </w:t>
      </w:r>
      <w:r w:rsidR="00644399">
        <w:rPr>
          <w:rFonts w:ascii="Times New Roman" w:hAnsi="Times New Roman" w:cs="Times New Roman"/>
        </w:rPr>
        <w:t>is</w:t>
      </w:r>
      <w:r w:rsidR="00230893">
        <w:rPr>
          <w:rFonts w:ascii="Times New Roman" w:hAnsi="Times New Roman" w:cs="Times New Roman"/>
        </w:rPr>
        <w:t xml:space="preserve"> </w:t>
      </w:r>
      <w:r w:rsidR="00644399">
        <w:rPr>
          <w:rFonts w:ascii="Times New Roman" w:hAnsi="Times New Roman" w:cs="Times New Roman"/>
        </w:rPr>
        <w:t xml:space="preserve">about </w:t>
      </w:r>
      <w:r w:rsidR="006A4401">
        <w:rPr>
          <w:rFonts w:ascii="Times New Roman" w:hAnsi="Times New Roman" w:cs="Times New Roman"/>
        </w:rPr>
        <w:t>0.</w:t>
      </w:r>
      <w:r w:rsidR="00644399">
        <w:rPr>
          <w:rFonts w:ascii="Times New Roman" w:hAnsi="Times New Roman" w:cs="Times New Roman"/>
        </w:rPr>
        <w:t>90</w:t>
      </w:r>
      <w:r w:rsidR="006A4401">
        <w:rPr>
          <w:rFonts w:ascii="Times New Roman" w:hAnsi="Times New Roman" w:cs="Times New Roman"/>
        </w:rPr>
        <w:t xml:space="preserve"> with a </w:t>
      </w:r>
      <w:r w:rsidR="00977C25">
        <w:rPr>
          <w:rFonts w:ascii="Times New Roman" w:hAnsi="Times New Roman" w:cs="Times New Roman"/>
        </w:rPr>
        <w:t>95</w:t>
      </w:r>
      <w:r w:rsidR="006A4401">
        <w:rPr>
          <w:rFonts w:ascii="Times New Roman" w:hAnsi="Times New Roman" w:cs="Times New Roman"/>
        </w:rPr>
        <w:t xml:space="preserve">% confidence range of </w:t>
      </w:r>
      <w:r w:rsidR="00644399">
        <w:rPr>
          <w:rFonts w:ascii="Times New Roman" w:hAnsi="Times New Roman" w:cs="Times New Roman"/>
        </w:rPr>
        <w:t>0.66</w:t>
      </w:r>
      <w:r w:rsidR="00742CD8">
        <w:rPr>
          <w:rFonts w:ascii="Times New Roman" w:hAnsi="Times New Roman" w:cs="Times New Roman"/>
        </w:rPr>
        <w:t xml:space="preserve"> to </w:t>
      </w:r>
      <w:r w:rsidR="00644399">
        <w:rPr>
          <w:rFonts w:ascii="Times New Roman" w:hAnsi="Times New Roman" w:cs="Times New Roman"/>
        </w:rPr>
        <w:t>1.22</w:t>
      </w:r>
      <w:r w:rsidR="00742CD8">
        <w:rPr>
          <w:rFonts w:ascii="Times New Roman" w:hAnsi="Times New Roman" w:cs="Times New Roman"/>
        </w:rPr>
        <w:t>.</w:t>
      </w:r>
    </w:p>
    <w:p w:rsidR="002D4A13" w:rsidRDefault="002D4A13" w:rsidP="00600834">
      <w:pPr>
        <w:rPr>
          <w:rFonts w:ascii="Times New Roman" w:hAnsi="Times New Roman" w:cs="Times New Roman"/>
        </w:rPr>
      </w:pPr>
    </w:p>
    <w:p w:rsidR="00AE3EDF" w:rsidRDefault="00B964D8" w:rsidP="00600834">
      <w:pPr>
        <w:rPr>
          <w:rFonts w:ascii="Times New Roman" w:hAnsi="Times New Roman" w:cs="Times New Roman"/>
        </w:rPr>
      </w:pPr>
      <w:r>
        <w:rPr>
          <w:rFonts w:ascii="Times New Roman" w:hAnsi="Times New Roman" w:cs="Times New Roman"/>
        </w:rPr>
        <w:t>T</w:t>
      </w:r>
      <w:r w:rsidR="00030FD1">
        <w:rPr>
          <w:rFonts w:ascii="Times New Roman" w:hAnsi="Times New Roman" w:cs="Times New Roman"/>
        </w:rPr>
        <w:t xml:space="preserve">he final </w:t>
      </w:r>
      <w:r w:rsidR="000C0C66">
        <w:rPr>
          <w:rFonts w:ascii="Times New Roman" w:hAnsi="Times New Roman" w:cs="Times New Roman"/>
        </w:rPr>
        <w:t xml:space="preserve">distributional implications of the combined </w:t>
      </w:r>
      <w:r w:rsidR="00030FD1">
        <w:rPr>
          <w:rFonts w:ascii="Times New Roman" w:hAnsi="Times New Roman" w:cs="Times New Roman"/>
        </w:rPr>
        <w:t xml:space="preserve">pharmacokinetic and </w:t>
      </w:r>
      <w:r w:rsidR="000C0C66">
        <w:rPr>
          <w:rFonts w:ascii="Times New Roman" w:hAnsi="Times New Roman" w:cs="Times New Roman"/>
        </w:rPr>
        <w:t>pharmacodynamic</w:t>
      </w:r>
      <w:r w:rsidR="00030FD1">
        <w:rPr>
          <w:rFonts w:ascii="Times New Roman" w:hAnsi="Times New Roman" w:cs="Times New Roman"/>
        </w:rPr>
        <w:t xml:space="preserve"> uncertainties </w:t>
      </w:r>
      <w:r>
        <w:rPr>
          <w:rFonts w:ascii="Times New Roman" w:hAnsi="Times New Roman" w:cs="Times New Roman"/>
        </w:rPr>
        <w:t>are derived in</w:t>
      </w:r>
      <w:r w:rsidR="000C0C66">
        <w:rPr>
          <w:rFonts w:ascii="Times New Roman" w:hAnsi="Times New Roman" w:cs="Times New Roman"/>
        </w:rPr>
        <w:t xml:space="preserve"> simulations of 5000 trials </w:t>
      </w:r>
      <w:r>
        <w:rPr>
          <w:rFonts w:ascii="Times New Roman" w:hAnsi="Times New Roman" w:cs="Times New Roman"/>
        </w:rPr>
        <w:t xml:space="preserve">(i) </w:t>
      </w:r>
      <w:r w:rsidR="000C0C66">
        <w:rPr>
          <w:rFonts w:ascii="Times New Roman" w:hAnsi="Times New Roman" w:cs="Times New Roman"/>
        </w:rPr>
        <w:t>each of</w:t>
      </w:r>
    </w:p>
    <w:p w:rsidR="00AE3EDF" w:rsidRDefault="00AE3EDF" w:rsidP="00600834">
      <w:pPr>
        <w:rPr>
          <w:rFonts w:ascii="Times New Roman" w:hAnsi="Times New Roman" w:cs="Times New Roman"/>
        </w:rPr>
      </w:pPr>
    </w:p>
    <w:p w:rsidR="002D4A13" w:rsidRDefault="00AE3EDF" w:rsidP="00600834">
      <w:pPr>
        <w:rPr>
          <w:rFonts w:ascii="Times New Roman" w:hAnsi="Times New Roman" w:cs="Times New Roman"/>
        </w:rPr>
      </w:pPr>
      <w:r w:rsidRPr="00AE3EDF">
        <w:rPr>
          <w:rFonts w:ascii="Times New Roman" w:hAnsi="Times New Roman" w:cs="Times New Roman"/>
          <w:position w:val="-4"/>
        </w:rPr>
        <w:object w:dxaOrig="180" w:dyaOrig="260">
          <v:shape id="_x0000_i1031" type="#_x0000_t75" style="width:9pt;height:13pt" o:ole="">
            <v:imagedata r:id="rId25" o:title=""/>
          </v:shape>
          <o:OLEObject Type="Embed" ProgID="Equation.3" ShapeID="_x0000_i1031" DrawAspect="Content" ObjectID="_1424520308" r:id="rId26"/>
        </w:object>
      </w:r>
      <w:r w:rsidR="00B964D8" w:rsidRPr="003A588B">
        <w:rPr>
          <w:rFonts w:ascii="Times New Roman" w:hAnsi="Times New Roman" w:cs="Times New Roman"/>
          <w:position w:val="-48"/>
        </w:rPr>
        <w:object w:dxaOrig="5520" w:dyaOrig="1060">
          <v:shape id="_x0000_i1032" type="#_x0000_t75" style="width:427pt;height:83pt" o:ole="">
            <v:imagedata r:id="rId27" o:title=""/>
          </v:shape>
          <o:OLEObject Type="Embed" ProgID="Equation.3" ShapeID="_x0000_i1032" DrawAspect="Content" ObjectID="_1424520309" r:id="rId28"/>
        </w:object>
      </w:r>
      <w:r w:rsidR="000C0C66">
        <w:rPr>
          <w:rFonts w:ascii="Times New Roman" w:hAnsi="Times New Roman" w:cs="Times New Roman"/>
        </w:rPr>
        <w:t xml:space="preserve"> </w:t>
      </w:r>
    </w:p>
    <w:p w:rsidR="000C0C66" w:rsidRDefault="000C0C66" w:rsidP="00600834">
      <w:pPr>
        <w:rPr>
          <w:rFonts w:ascii="Times New Roman" w:hAnsi="Times New Roman" w:cs="Times New Roman"/>
        </w:rPr>
      </w:pPr>
    </w:p>
    <w:p w:rsidR="003C35C8" w:rsidRDefault="003C35C8" w:rsidP="00600834">
      <w:pPr>
        <w:rPr>
          <w:rFonts w:ascii="Times New Roman" w:hAnsi="Times New Roman" w:cs="Times New Roman"/>
          <w:sz w:val="20"/>
          <w:szCs w:val="20"/>
        </w:rPr>
      </w:pPr>
    </w:p>
    <w:p w:rsidR="00B964D8" w:rsidRDefault="00B964D8" w:rsidP="00600834">
      <w:pPr>
        <w:rPr>
          <w:rFonts w:ascii="Times New Roman" w:hAnsi="Times New Roman" w:cs="Times New Roman"/>
        </w:rPr>
      </w:pPr>
      <w:r w:rsidRPr="00B964D8">
        <w:rPr>
          <w:rFonts w:ascii="Times New Roman" w:hAnsi="Times New Roman" w:cs="Times New Roman"/>
        </w:rPr>
        <w:t xml:space="preserve">The numerator of this expression derives the expected index change/maternal blood  concentration for each trial, and the denominator converts to units of absorbed daily dose via either inhalation or ingestion routes. </w:t>
      </w:r>
      <w:r w:rsidR="003E65C3">
        <w:rPr>
          <w:rFonts w:ascii="Times New Roman" w:hAnsi="Times New Roman" w:cs="Times New Roman"/>
        </w:rPr>
        <w:t>Because the distributions for the absorbed dose/maternal blood ratio in were not simpl</w:t>
      </w:r>
      <w:r w:rsidR="008A0E79">
        <w:rPr>
          <w:rFonts w:ascii="Times New Roman" w:hAnsi="Times New Roman" w:cs="Times New Roman"/>
        </w:rPr>
        <w:t xml:space="preserve">y describable as either normal </w:t>
      </w:r>
      <w:r w:rsidR="003E65C3">
        <w:rPr>
          <w:rFonts w:ascii="Times New Roman" w:hAnsi="Times New Roman" w:cs="Times New Roman"/>
        </w:rPr>
        <w:t>or lognormal, a table-lookup function was used to select derived values for this.  The Excel spreadsheets used for these calculations are included in the supplementary material made available on our website.</w:t>
      </w:r>
    </w:p>
    <w:p w:rsidR="00B964D8" w:rsidRDefault="00B964D8" w:rsidP="00600834">
      <w:pPr>
        <w:rPr>
          <w:rFonts w:ascii="Times New Roman" w:hAnsi="Times New Roman" w:cs="Times New Roman"/>
        </w:rPr>
      </w:pPr>
    </w:p>
    <w:p w:rsidR="003C35C8" w:rsidRDefault="00B964D8" w:rsidP="00600834">
      <w:pPr>
        <w:rPr>
          <w:rFonts w:ascii="Times New Roman" w:hAnsi="Times New Roman" w:cs="Times New Roman"/>
        </w:rPr>
      </w:pPr>
      <w:r>
        <w:rPr>
          <w:rFonts w:ascii="Times New Roman" w:hAnsi="Times New Roman" w:cs="Times New Roman"/>
        </w:rPr>
        <w:t>Table IX shows the arithmetic mean result</w:t>
      </w:r>
      <w:r w:rsidR="003E65C3">
        <w:rPr>
          <w:rFonts w:ascii="Times New Roman" w:hAnsi="Times New Roman" w:cs="Times New Roman"/>
        </w:rPr>
        <w:t xml:space="preserve">s of three 5000-trial runs of this expression for the arithmetic mean </w:t>
      </w:r>
      <w:r w:rsidR="00D001E3">
        <w:rPr>
          <w:rFonts w:ascii="Times New Roman" w:hAnsi="Times New Roman" w:cs="Times New Roman"/>
        </w:rPr>
        <w:t xml:space="preserve">and confidence/uncertainty fractiles of the </w:t>
      </w:r>
      <w:r w:rsidR="003E65C3">
        <w:rPr>
          <w:rFonts w:ascii="Times New Roman" w:hAnsi="Times New Roman" w:cs="Times New Roman"/>
        </w:rPr>
        <w:t xml:space="preserve">index change/ng/kg-day of absorbed dose based on independent selections from the three sets of uncertainty distributions derived earlier. </w:t>
      </w:r>
      <w:r w:rsidR="00E8263C">
        <w:rPr>
          <w:rFonts w:ascii="Times New Roman" w:hAnsi="Times New Roman" w:cs="Times New Roman"/>
        </w:rPr>
        <w:t xml:space="preserve"> </w:t>
      </w:r>
      <w:r w:rsidR="00F316F9">
        <w:rPr>
          <w:rFonts w:ascii="Times New Roman" w:hAnsi="Times New Roman" w:cs="Times New Roman"/>
        </w:rPr>
        <w:t xml:space="preserve">The arithmetic mean IQ change is included here in order to facilitate economic “expected value” juxtapositions of possible costs and benefits from changes in population exposures.  On the other hand, upper fractiles of the uncertainty distributions may well be considered relevant under </w:t>
      </w:r>
      <w:r w:rsidR="00EB5565">
        <w:rPr>
          <w:rFonts w:ascii="Times New Roman" w:hAnsi="Times New Roman" w:cs="Times New Roman"/>
        </w:rPr>
        <w:t xml:space="preserve">various risk management scenarios.  </w:t>
      </w:r>
      <w:r w:rsidR="00E8263C">
        <w:rPr>
          <w:rFonts w:ascii="Times New Roman" w:hAnsi="Times New Roman" w:cs="Times New Roman"/>
        </w:rPr>
        <w:t>The eight lines of the table represent all combinations of (1) the index of neurodevelopmental function (visual memory index vs full-scale IQ), (2) the inhalation vs ingestion route of absorption, and (3) exclusion vs inclusion of the Kisicki et al. source of data related to the ratio of absorbed daily dose/maternal blood CPF</w:t>
      </w:r>
      <w:r w:rsidR="00BA11AD">
        <w:rPr>
          <w:rFonts w:ascii="Times New Roman" w:hAnsi="Times New Roman" w:cs="Times New Roman"/>
        </w:rPr>
        <w:t xml:space="preserve"> concentration</w:t>
      </w:r>
      <w:r w:rsidR="00E8263C">
        <w:rPr>
          <w:rFonts w:ascii="Times New Roman" w:hAnsi="Times New Roman" w:cs="Times New Roman"/>
        </w:rPr>
        <w:t>.</w:t>
      </w:r>
    </w:p>
    <w:p w:rsidR="00E33D8E" w:rsidRDefault="00E33D8E" w:rsidP="00600834">
      <w:pPr>
        <w:rPr>
          <w:rFonts w:ascii="Times New Roman" w:hAnsi="Times New Roman" w:cs="Times New Roman"/>
        </w:rPr>
      </w:pPr>
    </w:p>
    <w:p w:rsidR="00E33D8E" w:rsidRDefault="00E33D8E" w:rsidP="00600834">
      <w:pPr>
        <w:rPr>
          <w:rFonts w:ascii="Times New Roman" w:hAnsi="Times New Roman" w:cs="Times New Roman"/>
        </w:rPr>
      </w:pPr>
      <w:r>
        <w:rPr>
          <w:rFonts w:ascii="Times New Roman" w:hAnsi="Times New Roman" w:cs="Times New Roman"/>
        </w:rPr>
        <w:t>It should be stressed that not all sources of uncertainty are included in this quantitative assessment.  We have not attempted to quantitatively assess model uncertainties related to the form of the dose response relationship used in the primary analysis of the Columbia data, uncertainties related to the control of confounders in that work, and assumptions related to the distributional forms of both human interindividual variability and the uncertainties related to each source of information.</w:t>
      </w:r>
    </w:p>
    <w:p w:rsidR="00607ACB" w:rsidRDefault="00607ACB" w:rsidP="00600834">
      <w:pPr>
        <w:rPr>
          <w:rFonts w:ascii="Times New Roman" w:hAnsi="Times New Roman" w:cs="Times New Roman"/>
        </w:rPr>
      </w:pPr>
    </w:p>
    <w:p w:rsidR="000538FB" w:rsidRDefault="000538FB" w:rsidP="000538FB">
      <w:pPr>
        <w:pStyle w:val="Heading1"/>
      </w:pPr>
      <w:bookmarkStart w:id="8" w:name="_Toc223068340"/>
      <w:r>
        <w:lastRenderedPageBreak/>
        <w:t>5.  Discussion</w:t>
      </w:r>
      <w:bookmarkEnd w:id="8"/>
    </w:p>
    <w:p w:rsidR="000538FB" w:rsidRDefault="000538FB" w:rsidP="00600834">
      <w:pPr>
        <w:rPr>
          <w:rFonts w:ascii="Times New Roman" w:hAnsi="Times New Roman" w:cs="Times New Roman"/>
        </w:rPr>
      </w:pPr>
    </w:p>
    <w:p w:rsidR="00607ACB" w:rsidRDefault="00D502E5" w:rsidP="00600834">
      <w:pPr>
        <w:rPr>
          <w:rFonts w:ascii="Times New Roman" w:hAnsi="Times New Roman" w:cs="Times New Roman"/>
        </w:rPr>
      </w:pPr>
      <w:r>
        <w:rPr>
          <w:rFonts w:ascii="Times New Roman" w:hAnsi="Times New Roman" w:cs="Times New Roman"/>
        </w:rPr>
        <w:t xml:space="preserve">The possible implications of these results for risk management choices (e.g., RfDs, RfCs, ADIs) must necessarily be left for decision-makers operating under their different legislative mandates.  </w:t>
      </w:r>
      <w:r w:rsidR="00145B75" w:rsidRPr="00145B75">
        <w:rPr>
          <w:rFonts w:ascii="Times New Roman" w:hAnsi="Times New Roman" w:cs="Times New Roman"/>
        </w:rPr>
        <w:t xml:space="preserve">There presently is no unambiguous risk management guidance on </w:t>
      </w:r>
      <w:r w:rsidR="00C33516">
        <w:rPr>
          <w:rFonts w:ascii="Times New Roman" w:hAnsi="Times New Roman" w:cs="Times New Roman"/>
        </w:rPr>
        <w:t>this in the U.S.</w:t>
      </w:r>
      <w:r w:rsidR="00145B75">
        <w:t xml:space="preserve">  </w:t>
      </w:r>
      <w:r>
        <w:rPr>
          <w:rFonts w:ascii="Times New Roman" w:hAnsi="Times New Roman" w:cs="Times New Roman"/>
        </w:rPr>
        <w:t xml:space="preserve">However it is not unreasonable to make some comparisons with the existing </w:t>
      </w:r>
      <w:r w:rsidR="007A7373">
        <w:rPr>
          <w:rFonts w:ascii="Times New Roman" w:hAnsi="Times New Roman" w:cs="Times New Roman"/>
        </w:rPr>
        <w:t>suggested</w:t>
      </w:r>
      <w:r>
        <w:rPr>
          <w:rFonts w:ascii="Times New Roman" w:hAnsi="Times New Roman" w:cs="Times New Roman"/>
        </w:rPr>
        <w:t xml:space="preserve"> RfD for chlorpyrifos based on a range of some not-clearly-incorrect choices of the uncertainty and variability criteria for risk management.</w:t>
      </w:r>
    </w:p>
    <w:p w:rsidR="007A7373" w:rsidRDefault="007A7373" w:rsidP="00600834">
      <w:pPr>
        <w:rPr>
          <w:rFonts w:ascii="Times New Roman" w:hAnsi="Times New Roman" w:cs="Times New Roman"/>
        </w:rPr>
      </w:pPr>
    </w:p>
    <w:p w:rsidR="007A7373" w:rsidRDefault="007A7373" w:rsidP="00600834">
      <w:pPr>
        <w:rPr>
          <w:rFonts w:ascii="Times New Roman" w:hAnsi="Times New Roman" w:cs="Times New Roman"/>
        </w:rPr>
      </w:pPr>
      <w:r>
        <w:rPr>
          <w:rFonts w:ascii="Times New Roman" w:hAnsi="Times New Roman" w:cs="Times New Roman"/>
        </w:rPr>
        <w:t>Based on the most recent EPA analysis (which is now under consideration for revision) the chronic point of departure</w:t>
      </w:r>
      <w:r w:rsidRPr="00D745AB">
        <w:rPr>
          <w:rFonts w:ascii="Times New Roman" w:hAnsi="Times New Roman" w:cs="Times New Roman"/>
        </w:rPr>
        <w:t xml:space="preserve"> </w:t>
      </w:r>
      <w:r w:rsidR="00EB5565">
        <w:rPr>
          <w:rFonts w:ascii="Times New Roman" w:hAnsi="Times New Roman" w:cs="Times New Roman"/>
        </w:rPr>
        <w:t xml:space="preserve">benchmark dose </w:t>
      </w:r>
      <w:r w:rsidRPr="00D745AB">
        <w:rPr>
          <w:rFonts w:ascii="Times New Roman" w:hAnsi="Times New Roman" w:cs="Times New Roman"/>
        </w:rPr>
        <w:t>based on the lower confidence limit of the dose causing 10% inhibition of cholinesterase levels in pregnant rats, is 0.03 mg/kg-day.  After application of a traditional 100x adjustment to account for possible animal to human, and sensitive human to average human sensitivity differences, they arrive at a candidate oral reference dose of 0.0003 mg/kg-day, which is equivalent to 0.3 µg/kg-day or 300 ng/kg-day</w:t>
      </w:r>
      <w:r>
        <w:rPr>
          <w:rFonts w:ascii="Times New Roman" w:hAnsi="Times New Roman" w:cs="Times New Roman"/>
        </w:rPr>
        <w:t>.</w:t>
      </w:r>
      <w:r w:rsidR="006C0164">
        <w:rPr>
          <w:rFonts w:ascii="Times New Roman" w:hAnsi="Times New Roman" w:cs="Times New Roman"/>
        </w:rPr>
        <w:t xml:space="preserve">  </w:t>
      </w:r>
    </w:p>
    <w:p w:rsidR="00291873" w:rsidRDefault="00291873" w:rsidP="00600834">
      <w:pPr>
        <w:rPr>
          <w:rFonts w:ascii="Times New Roman" w:hAnsi="Times New Roman" w:cs="Times New Roman"/>
        </w:rPr>
      </w:pPr>
    </w:p>
    <w:p w:rsidR="007A7373" w:rsidRDefault="00E77C40" w:rsidP="007A7373">
      <w:pPr>
        <w:rPr>
          <w:rFonts w:ascii="Times New Roman" w:hAnsi="Times New Roman" w:cs="Times New Roman"/>
        </w:rPr>
      </w:pPr>
      <w:r>
        <w:rPr>
          <w:rFonts w:ascii="Times New Roman" w:hAnsi="Times New Roman" w:cs="Times New Roman"/>
        </w:rPr>
        <w:t>When basing risk assessment on a small shift at the individual level that is within the clinically normal range, one mus choose and effect size that can be considered biologically meaningful.  For the chlorpyrifos-induced decrement of population mean IQ, t</w:t>
      </w:r>
      <w:r w:rsidR="007A7373" w:rsidRPr="00291873">
        <w:rPr>
          <w:rFonts w:ascii="Times New Roman" w:hAnsi="Times New Roman" w:cs="Times New Roman"/>
        </w:rPr>
        <w:t xml:space="preserve">he most directly applicable precedent for a target level </w:t>
      </w:r>
      <w:r>
        <w:rPr>
          <w:rFonts w:ascii="Times New Roman" w:hAnsi="Times New Roman" w:cs="Times New Roman"/>
        </w:rPr>
        <w:t xml:space="preserve">response </w:t>
      </w:r>
      <w:r w:rsidR="007A7373" w:rsidRPr="00291873">
        <w:rPr>
          <w:rFonts w:ascii="Times New Roman" w:hAnsi="Times New Roman" w:cs="Times New Roman"/>
        </w:rPr>
        <w:t>to neurodevelopmental toxicant can be found in a recent paper by researchers at the California EPA’s Office of Environmental Health Hazard Assessment</w:t>
      </w:r>
      <w:r w:rsidR="0043194C" w:rsidRPr="0043194C">
        <w:t xml:space="preserve"> </w:t>
      </w:r>
      <w:r w:rsidR="007A3FCF">
        <w:rPr>
          <w:rFonts w:ascii="Times New Roman" w:hAnsi="Times New Roman" w:cs="Times New Roman"/>
        </w:rPr>
        <w:fldChar w:fldCharType="begin"/>
      </w:r>
      <w:r w:rsidR="00FC54EA">
        <w:rPr>
          <w:rFonts w:ascii="Times New Roman" w:hAnsi="Times New Roman" w:cs="Times New Roman"/>
        </w:rPr>
        <w:instrText xml:space="preserve"> ADDIN EN.CITE &lt;EndNote&gt;&lt;Cite&gt;&lt;Author&gt;Carlisle&lt;/Author&gt;&lt;Year&gt;2009&lt;/Year&gt;&lt;RecNum&gt;237&lt;/RecNum&gt;&lt;DisplayText&gt;&lt;style face="superscript"&gt;(27)&lt;/style&gt;&lt;/DisplayText&gt;&lt;record&gt;&lt;rec-number&gt;237&lt;/rec-number&gt;&lt;foreign-keys&gt;&lt;key app="EN" db-id="apt5x9twmavw5feppw2p0x27wdvz92ez0va2"&gt;237&lt;/key&gt;&lt;/foreign-keys&gt;&lt;ref-type name="Journal Article"&gt;17&lt;/ref-type&gt;&lt;contributors&gt;&lt;authors&gt;&lt;author&gt;Carlisle, J, Dowling, KC, Siegel, DM, Alexeef, GV&lt;/author&gt;&lt;/authors&gt;&lt;/contributors&gt;&lt;titles&gt;&lt;title&gt;A blood lead benchmark for assessing risks from childhood lead exposure&lt;/title&gt;&lt;secondary-title&gt;J. Environ. Sci. Health A Tox. Hazard. Subst. Environ. Eng.&lt;/secondary-title&gt;&lt;/titles&gt;&lt;periodical&gt;&lt;full-title&gt;J. Environ. Sci. Health A Tox. Hazard. Subst. Environ. Eng.&lt;/full-title&gt;&lt;/periodical&gt;&lt;pages&gt;1200-8&lt;/pages&gt;&lt;volume&gt;44&lt;/volume&gt;&lt;number&gt;12&lt;/number&gt;&lt;section&gt;1200&lt;/section&gt;&lt;dates&gt;&lt;year&gt;2009&lt;/year&gt;&lt;/dates&gt;&lt;urls&gt;&lt;/urls&gt;&lt;/record&gt;&lt;/Cite&gt;&lt;/EndNote&gt;</w:instrText>
      </w:r>
      <w:r w:rsidR="007A3FCF">
        <w:rPr>
          <w:rFonts w:ascii="Times New Roman" w:hAnsi="Times New Roman" w:cs="Times New Roman"/>
        </w:rPr>
        <w:fldChar w:fldCharType="separate"/>
      </w:r>
      <w:r w:rsidR="00FC54EA" w:rsidRPr="00FC54EA">
        <w:rPr>
          <w:rFonts w:ascii="Times New Roman" w:hAnsi="Times New Roman" w:cs="Times New Roman"/>
          <w:noProof/>
          <w:vertAlign w:val="superscript"/>
        </w:rPr>
        <w:t>(</w:t>
      </w:r>
      <w:hyperlink w:anchor="_ENREF_27" w:tooltip="Carlisle, 2009 #237" w:history="1">
        <w:r w:rsidR="00FC54EA" w:rsidRPr="00FC54EA">
          <w:rPr>
            <w:rFonts w:ascii="Times New Roman" w:hAnsi="Times New Roman" w:cs="Times New Roman"/>
            <w:noProof/>
            <w:vertAlign w:val="superscript"/>
          </w:rPr>
          <w:t>27</w:t>
        </w:r>
      </w:hyperlink>
      <w:r w:rsidR="00FC54EA" w:rsidRPr="00FC54EA">
        <w:rPr>
          <w:rFonts w:ascii="Times New Roman" w:hAnsi="Times New Roman" w:cs="Times New Roman"/>
          <w:noProof/>
          <w:vertAlign w:val="superscript"/>
        </w:rPr>
        <w:t>)</w:t>
      </w:r>
      <w:r w:rsidR="007A3FCF">
        <w:rPr>
          <w:rFonts w:ascii="Times New Roman" w:hAnsi="Times New Roman" w:cs="Times New Roman"/>
        </w:rPr>
        <w:fldChar w:fldCharType="end"/>
      </w:r>
      <w:r w:rsidR="007A7373" w:rsidRPr="00291873">
        <w:rPr>
          <w:rFonts w:ascii="Times New Roman" w:hAnsi="Times New Roman" w:cs="Times New Roman"/>
        </w:rPr>
        <w:t>.  These authors derive a target change in blood level to be prevented that is associated with an expected change in population mean IQ of 1 point (1/15</w:t>
      </w:r>
      <w:r w:rsidR="007A7373" w:rsidRPr="00291873">
        <w:rPr>
          <w:rFonts w:ascii="Times New Roman" w:hAnsi="Times New Roman" w:cs="Times New Roman"/>
          <w:vertAlign w:val="superscript"/>
        </w:rPr>
        <w:t>th</w:t>
      </w:r>
      <w:r w:rsidR="007A7373" w:rsidRPr="00291873">
        <w:rPr>
          <w:rFonts w:ascii="Times New Roman" w:hAnsi="Times New Roman" w:cs="Times New Roman"/>
        </w:rPr>
        <w:t xml:space="preserve"> of the standard deviation of IQ values in a normal population)</w:t>
      </w:r>
      <w:r w:rsidR="007A7373">
        <w:rPr>
          <w:rFonts w:ascii="Times New Roman" w:hAnsi="Times New Roman" w:cs="Times New Roman"/>
        </w:rPr>
        <w:t xml:space="preserve">.  Such a criterion would lead to definition of an oral </w:t>
      </w:r>
      <w:r>
        <w:rPr>
          <w:rFonts w:ascii="Times New Roman" w:hAnsi="Times New Roman" w:cs="Times New Roman"/>
        </w:rPr>
        <w:t xml:space="preserve">chlorpyrifos </w:t>
      </w:r>
      <w:r w:rsidR="007A7373">
        <w:rPr>
          <w:rFonts w:ascii="Times New Roman" w:hAnsi="Times New Roman" w:cs="Times New Roman"/>
        </w:rPr>
        <w:t xml:space="preserve">RfD somewhere in the range of 24-100 ng/kg-day assuming 100% absorption, mean-.975 fractile choices in the uncertainty distribution, and inclusion vs exclusion choices for the use of the Kisicki et al. data. </w:t>
      </w:r>
      <w:r w:rsidR="006C0164">
        <w:rPr>
          <w:rFonts w:ascii="Times New Roman" w:hAnsi="Times New Roman" w:cs="Times New Roman"/>
        </w:rPr>
        <w:t xml:space="preserve">Thus even using this relatively permissive choice of a </w:t>
      </w:r>
      <w:r w:rsidR="002A0660">
        <w:rPr>
          <w:rFonts w:ascii="Times New Roman" w:hAnsi="Times New Roman" w:cs="Times New Roman"/>
        </w:rPr>
        <w:t xml:space="preserve">1 full IQ point </w:t>
      </w:r>
      <w:r w:rsidR="006C0164">
        <w:rPr>
          <w:rFonts w:ascii="Times New Roman" w:hAnsi="Times New Roman" w:cs="Times New Roman"/>
        </w:rPr>
        <w:t>criterion for population change in full scale IQ, the Columbia observations would seem to indicate a need for a several fold more stringent RfD than would ordinarily be derived from the available animal data.</w:t>
      </w:r>
    </w:p>
    <w:p w:rsidR="00F66802" w:rsidRDefault="00F66802" w:rsidP="00600834">
      <w:pPr>
        <w:rPr>
          <w:rFonts w:ascii="Times New Roman" w:hAnsi="Times New Roman" w:cs="Times New Roman"/>
        </w:rPr>
      </w:pPr>
    </w:p>
    <w:p w:rsidR="00607ACB" w:rsidRDefault="00607ACB" w:rsidP="00600834">
      <w:pPr>
        <w:rPr>
          <w:rFonts w:ascii="Times New Roman" w:hAnsi="Times New Roman" w:cs="Times New Roman"/>
        </w:rPr>
        <w:sectPr w:rsidR="00607ACB" w:rsidSect="00191DA3">
          <w:footerReference w:type="even" r:id="rId29"/>
          <w:footerReference w:type="default" r:id="rId30"/>
          <w:pgSz w:w="12240" w:h="15840"/>
          <w:pgMar w:top="1440" w:right="1354" w:bottom="1440" w:left="1440" w:header="720" w:footer="720" w:gutter="0"/>
          <w:cols w:space="720"/>
          <w:titlePg/>
        </w:sectPr>
      </w:pPr>
    </w:p>
    <w:p w:rsidR="003E65C3" w:rsidRDefault="00F66802" w:rsidP="00F66802">
      <w:pPr>
        <w:rPr>
          <w:rFonts w:ascii="Times New Roman" w:hAnsi="Times New Roman" w:cs="Times New Roman"/>
        </w:rPr>
      </w:pPr>
      <w:r>
        <w:rPr>
          <w:rFonts w:ascii="Times New Roman" w:hAnsi="Times New Roman" w:cs="Times New Roman"/>
        </w:rPr>
        <w:lastRenderedPageBreak/>
        <w:t xml:space="preserve">Table IX.  Expected Arithmentic Means and Confidence Distributions </w:t>
      </w:r>
      <w:r w:rsidR="00AD40BA">
        <w:rPr>
          <w:rFonts w:ascii="Times New Roman" w:hAnsi="Times New Roman" w:cs="Times New Roman"/>
        </w:rPr>
        <w:t xml:space="preserve">for </w:t>
      </w:r>
      <w:r>
        <w:rPr>
          <w:rFonts w:ascii="Times New Roman" w:hAnsi="Times New Roman" w:cs="Times New Roman"/>
        </w:rPr>
        <w:t>Changes in Indices of Neurodevelopmental Function Per Unit of Absorption of Chlorpyrifos Per Day During Pregnancy Based on Dosimetry and Effect Observations in People [Index Change/(ng/kg body weight-day)]</w:t>
      </w:r>
    </w:p>
    <w:p w:rsidR="003E65C3" w:rsidRDefault="003E65C3" w:rsidP="00600834">
      <w:pPr>
        <w:rPr>
          <w:rFonts w:ascii="Times New Roman" w:hAnsi="Times New Roman" w:cs="Times New Roman"/>
        </w:rPr>
      </w:pPr>
    </w:p>
    <w:p w:rsidR="003E65C3" w:rsidRDefault="00D42007" w:rsidP="00506B6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06B69">
        <w:rPr>
          <w:rFonts w:ascii="Times New Roman" w:hAnsi="Times New Roman" w:cs="Times New Roman"/>
        </w:rPr>
        <w:t>Fractile of Confide</w:t>
      </w:r>
      <w:r>
        <w:rPr>
          <w:rFonts w:ascii="Times New Roman" w:hAnsi="Times New Roman" w:cs="Times New Roman"/>
        </w:rPr>
        <w:t>nce/Uncertainty Distribution-</w:t>
      </w:r>
      <w:r w:rsidR="00506B69">
        <w:rPr>
          <w:rFonts w:ascii="Times New Roman" w:hAnsi="Times New Roman" w:cs="Times New Roman"/>
        </w:rPr>
        <w:t>-</w:t>
      </w:r>
    </w:p>
    <w:tbl>
      <w:tblPr>
        <w:tblW w:w="12420" w:type="dxa"/>
        <w:tblInd w:w="198" w:type="dxa"/>
        <w:tblLayout w:type="fixed"/>
        <w:tblLook w:val="04A0"/>
      </w:tblPr>
      <w:tblGrid>
        <w:gridCol w:w="2160"/>
        <w:gridCol w:w="1500"/>
        <w:gridCol w:w="1885"/>
        <w:gridCol w:w="1530"/>
        <w:gridCol w:w="1025"/>
        <w:gridCol w:w="990"/>
        <w:gridCol w:w="1170"/>
        <w:gridCol w:w="900"/>
        <w:gridCol w:w="1260"/>
      </w:tblGrid>
      <w:tr w:rsidR="00506B69" w:rsidRPr="00506B69" w:rsidTr="00D42007">
        <w:trPr>
          <w:trHeight w:val="920"/>
        </w:trPr>
        <w:tc>
          <w:tcPr>
            <w:tcW w:w="2160" w:type="dxa"/>
            <w:tcBorders>
              <w:top w:val="nil"/>
              <w:left w:val="nil"/>
              <w:bottom w:val="nil"/>
              <w:right w:val="nil"/>
            </w:tcBorders>
            <w:shd w:val="clear" w:color="auto" w:fill="auto"/>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Index of Function</w:t>
            </w:r>
          </w:p>
        </w:tc>
        <w:tc>
          <w:tcPr>
            <w:tcW w:w="1500" w:type="dxa"/>
            <w:tcBorders>
              <w:top w:val="nil"/>
              <w:left w:val="nil"/>
              <w:bottom w:val="nil"/>
              <w:right w:val="nil"/>
            </w:tcBorders>
            <w:shd w:val="clear" w:color="auto" w:fill="auto"/>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Route of Absorption</w:t>
            </w:r>
          </w:p>
        </w:tc>
        <w:tc>
          <w:tcPr>
            <w:tcW w:w="1885" w:type="dxa"/>
            <w:tcBorders>
              <w:top w:val="nil"/>
              <w:left w:val="nil"/>
              <w:bottom w:val="nil"/>
              <w:right w:val="nil"/>
            </w:tcBorders>
            <w:shd w:val="clear" w:color="auto" w:fill="auto"/>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Include vs Exclude Kisicki</w:t>
            </w:r>
          </w:p>
        </w:tc>
        <w:tc>
          <w:tcPr>
            <w:tcW w:w="1530" w:type="dxa"/>
            <w:tcBorders>
              <w:top w:val="nil"/>
              <w:left w:val="nil"/>
              <w:bottom w:val="nil"/>
              <w:right w:val="nil"/>
            </w:tcBorders>
            <w:shd w:val="clear" w:color="auto" w:fill="auto"/>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Arithmetic Mean</w:t>
            </w:r>
          </w:p>
        </w:tc>
        <w:tc>
          <w:tcPr>
            <w:tcW w:w="102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2.5</w:t>
            </w:r>
          </w:p>
        </w:tc>
        <w:tc>
          <w:tcPr>
            <w:tcW w:w="99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10</w:t>
            </w:r>
          </w:p>
        </w:tc>
        <w:tc>
          <w:tcPr>
            <w:tcW w:w="117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50</w:t>
            </w:r>
          </w:p>
        </w:tc>
        <w:tc>
          <w:tcPr>
            <w:tcW w:w="9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90</w:t>
            </w:r>
          </w:p>
        </w:tc>
        <w:tc>
          <w:tcPr>
            <w:tcW w:w="126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97.5</w:t>
            </w:r>
          </w:p>
        </w:tc>
      </w:tr>
      <w:tr w:rsidR="00506B69" w:rsidRPr="00506B69" w:rsidTr="00D42007">
        <w:trPr>
          <w:trHeight w:val="300"/>
        </w:trPr>
        <w:tc>
          <w:tcPr>
            <w:tcW w:w="2160" w:type="dxa"/>
            <w:tcBorders>
              <w:top w:val="nil"/>
              <w:left w:val="nil"/>
              <w:bottom w:val="nil"/>
              <w:right w:val="nil"/>
            </w:tcBorders>
            <w:shd w:val="clear" w:color="auto" w:fill="auto"/>
            <w:noWrap/>
            <w:vAlign w:val="bottom"/>
            <w:hideMark/>
          </w:tcPr>
          <w:p w:rsidR="00506B69" w:rsidRPr="00506B69" w:rsidRDefault="0074783F" w:rsidP="00506B6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Working</w:t>
            </w:r>
            <w:r w:rsidR="00506B69" w:rsidRPr="00506B69">
              <w:rPr>
                <w:rFonts w:ascii="Times New Roman" w:eastAsia="Times New Roman" w:hAnsi="Times New Roman" w:cs="Times New Roman"/>
                <w:lang w:eastAsia="en-US"/>
              </w:rPr>
              <w:t xml:space="preserve"> Memory</w:t>
            </w:r>
          </w:p>
        </w:tc>
        <w:tc>
          <w:tcPr>
            <w:tcW w:w="15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Inhalation</w:t>
            </w:r>
          </w:p>
        </w:tc>
        <w:tc>
          <w:tcPr>
            <w:tcW w:w="188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Exclude</w:t>
            </w:r>
          </w:p>
        </w:tc>
        <w:tc>
          <w:tcPr>
            <w:tcW w:w="153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0.035</w:t>
            </w:r>
          </w:p>
        </w:tc>
        <w:tc>
          <w:tcPr>
            <w:tcW w:w="102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0.010</w:t>
            </w:r>
          </w:p>
        </w:tc>
        <w:tc>
          <w:tcPr>
            <w:tcW w:w="99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0.017</w:t>
            </w:r>
          </w:p>
        </w:tc>
        <w:tc>
          <w:tcPr>
            <w:tcW w:w="117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0.032</w:t>
            </w:r>
          </w:p>
        </w:tc>
        <w:tc>
          <w:tcPr>
            <w:tcW w:w="9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0.055</w:t>
            </w:r>
          </w:p>
        </w:tc>
        <w:tc>
          <w:tcPr>
            <w:tcW w:w="126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0.076</w:t>
            </w:r>
          </w:p>
        </w:tc>
      </w:tr>
      <w:tr w:rsidR="00506B69" w:rsidRPr="00506B69" w:rsidTr="00D42007">
        <w:trPr>
          <w:trHeight w:val="300"/>
        </w:trPr>
        <w:tc>
          <w:tcPr>
            <w:tcW w:w="2160" w:type="dxa"/>
            <w:tcBorders>
              <w:top w:val="nil"/>
              <w:left w:val="nil"/>
              <w:bottom w:val="nil"/>
              <w:right w:val="nil"/>
            </w:tcBorders>
            <w:shd w:val="clear" w:color="auto" w:fill="auto"/>
            <w:noWrap/>
            <w:vAlign w:val="bottom"/>
            <w:hideMark/>
          </w:tcPr>
          <w:p w:rsidR="00506B69" w:rsidRPr="00506B69" w:rsidRDefault="00D42007" w:rsidP="00506B6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Working </w:t>
            </w:r>
            <w:r w:rsidR="00506B69" w:rsidRPr="00506B69">
              <w:rPr>
                <w:rFonts w:ascii="Times New Roman" w:eastAsia="Times New Roman" w:hAnsi="Times New Roman" w:cs="Times New Roman"/>
                <w:lang w:eastAsia="en-US"/>
              </w:rPr>
              <w:t>Memory</w:t>
            </w:r>
          </w:p>
        </w:tc>
        <w:tc>
          <w:tcPr>
            <w:tcW w:w="15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Inhalation</w:t>
            </w:r>
          </w:p>
        </w:tc>
        <w:tc>
          <w:tcPr>
            <w:tcW w:w="188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Include</w:t>
            </w:r>
          </w:p>
        </w:tc>
        <w:tc>
          <w:tcPr>
            <w:tcW w:w="153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0.025</w:t>
            </w:r>
          </w:p>
        </w:tc>
        <w:tc>
          <w:tcPr>
            <w:tcW w:w="102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0.0080</w:t>
            </w:r>
          </w:p>
        </w:tc>
        <w:tc>
          <w:tcPr>
            <w:tcW w:w="99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0.013</w:t>
            </w:r>
          </w:p>
        </w:tc>
        <w:tc>
          <w:tcPr>
            <w:tcW w:w="117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0.024</w:t>
            </w:r>
          </w:p>
        </w:tc>
        <w:tc>
          <w:tcPr>
            <w:tcW w:w="9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0.037</w:t>
            </w:r>
          </w:p>
        </w:tc>
        <w:tc>
          <w:tcPr>
            <w:tcW w:w="126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0.046</w:t>
            </w:r>
          </w:p>
        </w:tc>
      </w:tr>
      <w:tr w:rsidR="00506B69" w:rsidRPr="00506B69" w:rsidTr="00D42007">
        <w:trPr>
          <w:trHeight w:val="300"/>
        </w:trPr>
        <w:tc>
          <w:tcPr>
            <w:tcW w:w="2160" w:type="dxa"/>
            <w:tcBorders>
              <w:top w:val="nil"/>
              <w:left w:val="nil"/>
              <w:bottom w:val="nil"/>
              <w:right w:val="nil"/>
            </w:tcBorders>
            <w:shd w:val="clear" w:color="auto" w:fill="auto"/>
            <w:noWrap/>
            <w:vAlign w:val="bottom"/>
            <w:hideMark/>
          </w:tcPr>
          <w:p w:rsidR="00506B69" w:rsidRPr="00506B69" w:rsidRDefault="00D42007" w:rsidP="00506B6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Working</w:t>
            </w:r>
            <w:r w:rsidR="00506B69" w:rsidRPr="00506B69">
              <w:rPr>
                <w:rFonts w:ascii="Times New Roman" w:eastAsia="Times New Roman" w:hAnsi="Times New Roman" w:cs="Times New Roman"/>
                <w:lang w:eastAsia="en-US"/>
              </w:rPr>
              <w:t xml:space="preserve"> Memory</w:t>
            </w:r>
          </w:p>
        </w:tc>
        <w:tc>
          <w:tcPr>
            <w:tcW w:w="15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Ingestion</w:t>
            </w:r>
          </w:p>
        </w:tc>
        <w:tc>
          <w:tcPr>
            <w:tcW w:w="188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Exclude</w:t>
            </w:r>
          </w:p>
        </w:tc>
        <w:tc>
          <w:tcPr>
            <w:tcW w:w="153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0.030</w:t>
            </w:r>
          </w:p>
        </w:tc>
        <w:tc>
          <w:tcPr>
            <w:tcW w:w="102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0.0075</w:t>
            </w:r>
          </w:p>
        </w:tc>
        <w:tc>
          <w:tcPr>
            <w:tcW w:w="99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0.012</w:t>
            </w:r>
          </w:p>
        </w:tc>
        <w:tc>
          <w:tcPr>
            <w:tcW w:w="117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0.026</w:t>
            </w:r>
          </w:p>
        </w:tc>
        <w:tc>
          <w:tcPr>
            <w:tcW w:w="9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0.051</w:t>
            </w:r>
          </w:p>
        </w:tc>
        <w:tc>
          <w:tcPr>
            <w:tcW w:w="126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0.076</w:t>
            </w:r>
          </w:p>
        </w:tc>
      </w:tr>
      <w:tr w:rsidR="00506B69" w:rsidRPr="00506B69" w:rsidTr="00D42007">
        <w:trPr>
          <w:trHeight w:val="300"/>
        </w:trPr>
        <w:tc>
          <w:tcPr>
            <w:tcW w:w="2160" w:type="dxa"/>
            <w:tcBorders>
              <w:top w:val="nil"/>
              <w:left w:val="nil"/>
              <w:bottom w:val="nil"/>
              <w:right w:val="nil"/>
            </w:tcBorders>
            <w:shd w:val="clear" w:color="auto" w:fill="auto"/>
            <w:noWrap/>
            <w:vAlign w:val="bottom"/>
            <w:hideMark/>
          </w:tcPr>
          <w:p w:rsidR="00506B69" w:rsidRPr="00506B69" w:rsidRDefault="00D42007" w:rsidP="00506B6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Working</w:t>
            </w:r>
            <w:r w:rsidR="00506B69" w:rsidRPr="00506B69">
              <w:rPr>
                <w:rFonts w:ascii="Times New Roman" w:eastAsia="Times New Roman" w:hAnsi="Times New Roman" w:cs="Times New Roman"/>
                <w:lang w:eastAsia="en-US"/>
              </w:rPr>
              <w:t xml:space="preserve"> Memory</w:t>
            </w:r>
          </w:p>
        </w:tc>
        <w:tc>
          <w:tcPr>
            <w:tcW w:w="15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Ingestion</w:t>
            </w:r>
          </w:p>
        </w:tc>
        <w:tc>
          <w:tcPr>
            <w:tcW w:w="188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Include</w:t>
            </w:r>
          </w:p>
        </w:tc>
        <w:tc>
          <w:tcPr>
            <w:tcW w:w="153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0.021</w:t>
            </w:r>
          </w:p>
        </w:tc>
        <w:tc>
          <w:tcPr>
            <w:tcW w:w="102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0.0063</w:t>
            </w:r>
          </w:p>
        </w:tc>
        <w:tc>
          <w:tcPr>
            <w:tcW w:w="99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0.010</w:t>
            </w:r>
          </w:p>
        </w:tc>
        <w:tc>
          <w:tcPr>
            <w:tcW w:w="117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0.019</w:t>
            </w:r>
          </w:p>
        </w:tc>
        <w:tc>
          <w:tcPr>
            <w:tcW w:w="9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0.034</w:t>
            </w:r>
          </w:p>
        </w:tc>
        <w:tc>
          <w:tcPr>
            <w:tcW w:w="126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0.045</w:t>
            </w:r>
          </w:p>
        </w:tc>
      </w:tr>
      <w:tr w:rsidR="00506B69" w:rsidRPr="00506B69" w:rsidTr="00D42007">
        <w:trPr>
          <w:trHeight w:val="300"/>
        </w:trPr>
        <w:tc>
          <w:tcPr>
            <w:tcW w:w="216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Full Scale IQ</w:t>
            </w:r>
          </w:p>
        </w:tc>
        <w:tc>
          <w:tcPr>
            <w:tcW w:w="15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Inhalation</w:t>
            </w:r>
          </w:p>
        </w:tc>
        <w:tc>
          <w:tcPr>
            <w:tcW w:w="188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Exclude</w:t>
            </w:r>
          </w:p>
        </w:tc>
        <w:tc>
          <w:tcPr>
            <w:tcW w:w="153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0.017</w:t>
            </w:r>
          </w:p>
        </w:tc>
        <w:tc>
          <w:tcPr>
            <w:tcW w:w="102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-0.0001</w:t>
            </w:r>
          </w:p>
        </w:tc>
        <w:tc>
          <w:tcPr>
            <w:tcW w:w="99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0.0052</w:t>
            </w:r>
          </w:p>
        </w:tc>
        <w:tc>
          <w:tcPr>
            <w:tcW w:w="117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0.016</w:t>
            </w:r>
          </w:p>
        </w:tc>
        <w:tc>
          <w:tcPr>
            <w:tcW w:w="9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0.031</w:t>
            </w:r>
          </w:p>
        </w:tc>
        <w:tc>
          <w:tcPr>
            <w:tcW w:w="126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0.043</w:t>
            </w:r>
          </w:p>
        </w:tc>
      </w:tr>
      <w:tr w:rsidR="00506B69" w:rsidRPr="00506B69" w:rsidTr="00D42007">
        <w:trPr>
          <w:trHeight w:val="300"/>
        </w:trPr>
        <w:tc>
          <w:tcPr>
            <w:tcW w:w="216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Full Scale IQ</w:t>
            </w:r>
          </w:p>
        </w:tc>
        <w:tc>
          <w:tcPr>
            <w:tcW w:w="15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Inhalation</w:t>
            </w:r>
          </w:p>
        </w:tc>
        <w:tc>
          <w:tcPr>
            <w:tcW w:w="188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Include</w:t>
            </w:r>
          </w:p>
        </w:tc>
        <w:tc>
          <w:tcPr>
            <w:tcW w:w="153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0.012</w:t>
            </w:r>
          </w:p>
        </w:tc>
        <w:tc>
          <w:tcPr>
            <w:tcW w:w="102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0.0001</w:t>
            </w:r>
          </w:p>
        </w:tc>
        <w:tc>
          <w:tcPr>
            <w:tcW w:w="99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0.0041</w:t>
            </w:r>
          </w:p>
        </w:tc>
        <w:tc>
          <w:tcPr>
            <w:tcW w:w="117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0.012</w:t>
            </w:r>
          </w:p>
        </w:tc>
        <w:tc>
          <w:tcPr>
            <w:tcW w:w="9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0.021</w:t>
            </w:r>
          </w:p>
        </w:tc>
        <w:tc>
          <w:tcPr>
            <w:tcW w:w="126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0.027</w:t>
            </w:r>
          </w:p>
        </w:tc>
      </w:tr>
      <w:tr w:rsidR="00506B69" w:rsidRPr="00506B69" w:rsidTr="00D42007">
        <w:trPr>
          <w:trHeight w:val="300"/>
        </w:trPr>
        <w:tc>
          <w:tcPr>
            <w:tcW w:w="216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Full Scale IQ</w:t>
            </w:r>
          </w:p>
        </w:tc>
        <w:tc>
          <w:tcPr>
            <w:tcW w:w="15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Ingestion</w:t>
            </w:r>
          </w:p>
        </w:tc>
        <w:tc>
          <w:tcPr>
            <w:tcW w:w="188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Exclude</w:t>
            </w:r>
          </w:p>
        </w:tc>
        <w:tc>
          <w:tcPr>
            <w:tcW w:w="153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0.015</w:t>
            </w:r>
          </w:p>
        </w:tc>
        <w:tc>
          <w:tcPr>
            <w:tcW w:w="102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-0.0001</w:t>
            </w:r>
          </w:p>
        </w:tc>
        <w:tc>
          <w:tcPr>
            <w:tcW w:w="99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0.0040</w:t>
            </w:r>
          </w:p>
        </w:tc>
        <w:tc>
          <w:tcPr>
            <w:tcW w:w="117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0.013</w:t>
            </w:r>
          </w:p>
        </w:tc>
        <w:tc>
          <w:tcPr>
            <w:tcW w:w="9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0.027</w:t>
            </w:r>
          </w:p>
        </w:tc>
        <w:tc>
          <w:tcPr>
            <w:tcW w:w="126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0.042</w:t>
            </w:r>
          </w:p>
        </w:tc>
      </w:tr>
      <w:tr w:rsidR="00506B69" w:rsidRPr="00506B69" w:rsidTr="00D42007">
        <w:trPr>
          <w:trHeight w:val="300"/>
        </w:trPr>
        <w:tc>
          <w:tcPr>
            <w:tcW w:w="216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Full Scale IQ</w:t>
            </w:r>
          </w:p>
        </w:tc>
        <w:tc>
          <w:tcPr>
            <w:tcW w:w="15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Ingestion</w:t>
            </w:r>
          </w:p>
        </w:tc>
        <w:tc>
          <w:tcPr>
            <w:tcW w:w="188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Include</w:t>
            </w:r>
          </w:p>
        </w:tc>
        <w:tc>
          <w:tcPr>
            <w:tcW w:w="153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0.010</w:t>
            </w:r>
          </w:p>
        </w:tc>
        <w:tc>
          <w:tcPr>
            <w:tcW w:w="1025"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-0.0001</w:t>
            </w:r>
          </w:p>
        </w:tc>
        <w:tc>
          <w:tcPr>
            <w:tcW w:w="99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0.0032</w:t>
            </w:r>
          </w:p>
        </w:tc>
        <w:tc>
          <w:tcPr>
            <w:tcW w:w="117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0.010</w:t>
            </w:r>
          </w:p>
        </w:tc>
        <w:tc>
          <w:tcPr>
            <w:tcW w:w="90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0.019</w:t>
            </w:r>
          </w:p>
        </w:tc>
        <w:tc>
          <w:tcPr>
            <w:tcW w:w="1260" w:type="dxa"/>
            <w:tcBorders>
              <w:top w:val="nil"/>
              <w:left w:val="nil"/>
              <w:bottom w:val="nil"/>
              <w:right w:val="nil"/>
            </w:tcBorders>
            <w:shd w:val="clear" w:color="auto" w:fill="auto"/>
            <w:noWrap/>
            <w:vAlign w:val="bottom"/>
            <w:hideMark/>
          </w:tcPr>
          <w:p w:rsidR="00506B69" w:rsidRPr="00506B69" w:rsidRDefault="00506B69" w:rsidP="00506B69">
            <w:pPr>
              <w:jc w:val="center"/>
              <w:rPr>
                <w:rFonts w:ascii="Times New Roman" w:eastAsia="Times New Roman" w:hAnsi="Times New Roman" w:cs="Times New Roman"/>
                <w:lang w:eastAsia="en-US"/>
              </w:rPr>
            </w:pPr>
            <w:r w:rsidRPr="00506B69">
              <w:rPr>
                <w:rFonts w:ascii="Times New Roman" w:eastAsia="Times New Roman" w:hAnsi="Times New Roman" w:cs="Times New Roman"/>
                <w:lang w:eastAsia="en-US"/>
              </w:rPr>
              <w:t>0.026</w:t>
            </w:r>
          </w:p>
        </w:tc>
      </w:tr>
    </w:tbl>
    <w:p w:rsidR="00506B69" w:rsidRDefault="00506B69" w:rsidP="00506B69">
      <w:pPr>
        <w:tabs>
          <w:tab w:val="left" w:pos="7740"/>
        </w:tabs>
        <w:rPr>
          <w:rFonts w:ascii="Times New Roman" w:hAnsi="Times New Roman" w:cs="Times New Roman"/>
        </w:rPr>
      </w:pPr>
    </w:p>
    <w:p w:rsidR="00355467" w:rsidRDefault="00355467" w:rsidP="00600834">
      <w:pPr>
        <w:rPr>
          <w:rFonts w:ascii="Times New Roman" w:hAnsi="Times New Roman" w:cs="Times New Roman"/>
        </w:rPr>
        <w:sectPr w:rsidR="00355467" w:rsidSect="00191DA3">
          <w:pgSz w:w="15840" w:h="12240" w:orient="landscape"/>
          <w:pgMar w:top="1354" w:right="1440" w:bottom="1440" w:left="1440" w:header="720" w:footer="720" w:gutter="0"/>
          <w:cols w:space="720"/>
        </w:sectPr>
      </w:pPr>
    </w:p>
    <w:p w:rsidR="003E65C3" w:rsidRPr="00B964D8" w:rsidRDefault="003E65C3" w:rsidP="00600834">
      <w:pPr>
        <w:rPr>
          <w:rFonts w:ascii="Times New Roman" w:hAnsi="Times New Roman" w:cs="Times New Roman"/>
        </w:rPr>
      </w:pPr>
    </w:p>
    <w:p w:rsidR="00F316F9" w:rsidRDefault="00E77C40" w:rsidP="00F316F9">
      <w:pPr>
        <w:rPr>
          <w:rFonts w:ascii="Times New Roman" w:hAnsi="Times New Roman" w:cs="Times New Roman"/>
        </w:rPr>
      </w:pPr>
      <w:r>
        <w:rPr>
          <w:rFonts w:ascii="Times New Roman" w:hAnsi="Times New Roman" w:cs="Times New Roman"/>
        </w:rPr>
        <w:t xml:space="preserve">The California OEHHA IQ target is not the only approach for establishing risk criteria for neurodevelopmental outcomes.  </w:t>
      </w:r>
      <w:r w:rsidR="00F316F9">
        <w:rPr>
          <w:rFonts w:ascii="Times New Roman" w:hAnsi="Times New Roman" w:cs="Times New Roman"/>
        </w:rPr>
        <w:t>Another possible criterion would be to allow no more than a 10% change in the risk of being below the 1</w:t>
      </w:r>
      <w:r w:rsidR="00F316F9" w:rsidRPr="0074783F">
        <w:rPr>
          <w:rFonts w:ascii="Times New Roman" w:hAnsi="Times New Roman" w:cs="Times New Roman"/>
          <w:vertAlign w:val="superscript"/>
        </w:rPr>
        <w:t>st</w:t>
      </w:r>
      <w:r w:rsidR="00F316F9">
        <w:rPr>
          <w:rFonts w:ascii="Times New Roman" w:hAnsi="Times New Roman" w:cs="Times New Roman"/>
        </w:rPr>
        <w:t xml:space="preserve"> percentile of normal function</w:t>
      </w:r>
      <w:r w:rsidR="00CF3EE8">
        <w:rPr>
          <w:rFonts w:ascii="Times New Roman" w:hAnsi="Times New Roman" w:cs="Times New Roman"/>
        </w:rPr>
        <w:t xml:space="preserve"> (that is, and extra 1/1000 population risk of profound impairment)</w:t>
      </w:r>
      <w:r w:rsidR="00F316F9">
        <w:rPr>
          <w:rFonts w:ascii="Times New Roman" w:hAnsi="Times New Roman" w:cs="Times New Roman"/>
        </w:rPr>
        <w:t>.  For IQ and working memory, which are defined as having population means of 100 with a standard deviation of 15, the first percentile of a normal population is expected to correspond to an index value of 65.1.  Assuming no change in the population standard deviation, an extra 10% chance of being below an IQ or working memory index value of 65.1 would be produced by a population mean shift of about 0.54 index points.  Adopting this criterion, and including as an option, change in working memory index would lead to candidate RfDs in the range of 7 – 50 ng/kg-day.</w:t>
      </w:r>
    </w:p>
    <w:p w:rsidR="00F316F9" w:rsidRDefault="00F316F9" w:rsidP="00F316F9">
      <w:pPr>
        <w:rPr>
          <w:rFonts w:ascii="Times New Roman" w:hAnsi="Times New Roman" w:cs="Times New Roman"/>
        </w:rPr>
      </w:pPr>
    </w:p>
    <w:p w:rsidR="00E77C40" w:rsidRDefault="00E77C40" w:rsidP="00600834">
      <w:pPr>
        <w:rPr>
          <w:rFonts w:ascii="Times New Roman" w:hAnsi="Times New Roman" w:cs="Times New Roman"/>
        </w:rPr>
      </w:pPr>
      <w:r>
        <w:rPr>
          <w:rFonts w:ascii="Times New Roman" w:hAnsi="Times New Roman" w:cs="Times New Roman"/>
        </w:rPr>
        <w:t xml:space="preserve">Consideration of the potential economic consequences provides additional perspective on the acceptable effect size for neurodevelopmental outcome.  </w:t>
      </w:r>
      <w:r w:rsidR="00F316F9" w:rsidRPr="00D115E8">
        <w:rPr>
          <w:rFonts w:ascii="Times New Roman" w:hAnsi="Times New Roman" w:cs="Times New Roman"/>
        </w:rPr>
        <w:t>In the light of the association between IQ and worker productivity, Grosse et al.</w:t>
      </w:r>
      <w:r w:rsidR="0043194C" w:rsidRPr="0043194C">
        <w:rPr>
          <w:rFonts w:ascii="Times New Roman" w:hAnsi="Times New Roman" w:cs="Times New Roman"/>
        </w:rPr>
        <w:t xml:space="preserve"> </w:t>
      </w:r>
      <w:r w:rsidR="007A3FCF" w:rsidRPr="00D115E8">
        <w:rPr>
          <w:rFonts w:ascii="Times New Roman" w:hAnsi="Times New Roman" w:cs="Times New Roman"/>
        </w:rPr>
        <w:fldChar w:fldCharType="begin"/>
      </w:r>
      <w:r w:rsidR="00FC54EA">
        <w:rPr>
          <w:rFonts w:ascii="Times New Roman" w:hAnsi="Times New Roman" w:cs="Times New Roman"/>
        </w:rPr>
        <w:instrText xml:space="preserve"> ADDIN EN.CITE &lt;EndNote&gt;&lt;Cite&gt;&lt;Author&gt;Grosse&lt;/Author&gt;&lt;Year&gt;2002&lt;/Year&gt;&lt;RecNum&gt;37&lt;/RecNum&gt;&lt;DisplayText&gt;&lt;style face="superscript"&gt;(28)&lt;/style&gt;&lt;/DisplayText&gt;&lt;record&gt;&lt;rec-number&gt;37&lt;/rec-number&gt;&lt;foreign-keys&gt;&lt;key app="EN" db-id="szppttd5opt52dezff1v2twj0s0w0ad9zw9v"&gt;37&lt;/key&gt;&lt;/foreign-keys&gt;&lt;ref-type name="Journal Article"&gt;17&lt;/ref-type&gt;&lt;contributors&gt;&lt;authors&gt;&lt;author&gt;Grosse, SD, Matte, TD, Schwartz, J, Jackson, RJ&lt;/author&gt;&lt;/authors&gt;&lt;/contributors&gt;&lt;titles&gt;&lt;title&gt;Economic Gains Resulting from the Reduction in Children’s Exposure to Lead&amp;#xD;in the United States&lt;/title&gt;&lt;secondary-title&gt;Environmental Health Perspectives&lt;/secondary-title&gt;&lt;/titles&gt;&lt;periodical&gt;&lt;full-title&gt;Environmental Health Perspectives&lt;/full-title&gt;&lt;/periodical&gt;&lt;pages&gt;563-569&lt;/pages&gt;&lt;volume&gt;110&lt;/volume&gt;&lt;section&gt;563&lt;/section&gt;&lt;dates&gt;&lt;year&gt;2002&lt;/year&gt;&lt;/dates&gt;&lt;urls&gt;&lt;/urls&gt;&lt;/record&gt;&lt;/Cite&gt;&lt;/EndNote&gt;</w:instrText>
      </w:r>
      <w:r w:rsidR="007A3FCF" w:rsidRPr="00D115E8">
        <w:rPr>
          <w:rFonts w:ascii="Times New Roman" w:hAnsi="Times New Roman" w:cs="Times New Roman"/>
        </w:rPr>
        <w:fldChar w:fldCharType="separate"/>
      </w:r>
      <w:r w:rsidR="00FC54EA" w:rsidRPr="00FC54EA">
        <w:rPr>
          <w:rFonts w:ascii="Times New Roman" w:hAnsi="Times New Roman" w:cs="Times New Roman"/>
          <w:noProof/>
          <w:vertAlign w:val="superscript"/>
        </w:rPr>
        <w:t>(</w:t>
      </w:r>
      <w:hyperlink w:anchor="_ENREF_28" w:tooltip="Grosse, 2002 #37" w:history="1">
        <w:r w:rsidR="00FC54EA" w:rsidRPr="00FC54EA">
          <w:rPr>
            <w:rFonts w:ascii="Times New Roman" w:hAnsi="Times New Roman" w:cs="Times New Roman"/>
            <w:noProof/>
            <w:vertAlign w:val="superscript"/>
          </w:rPr>
          <w:t>28</w:t>
        </w:r>
      </w:hyperlink>
      <w:r w:rsidR="00FC54EA" w:rsidRPr="00FC54EA">
        <w:rPr>
          <w:rFonts w:ascii="Times New Roman" w:hAnsi="Times New Roman" w:cs="Times New Roman"/>
          <w:noProof/>
          <w:vertAlign w:val="superscript"/>
        </w:rPr>
        <w:t>)</w:t>
      </w:r>
      <w:r w:rsidR="007A3FCF" w:rsidRPr="00D115E8">
        <w:rPr>
          <w:rFonts w:ascii="Times New Roman" w:hAnsi="Times New Roman" w:cs="Times New Roman"/>
        </w:rPr>
        <w:fldChar w:fldCharType="end"/>
      </w:r>
      <w:r w:rsidR="00F316F9" w:rsidRPr="00D115E8">
        <w:rPr>
          <w:rFonts w:ascii="Times New Roman" w:hAnsi="Times New Roman" w:cs="Times New Roman"/>
        </w:rPr>
        <w:t xml:space="preserve"> estimate that each loss of one IQ point for a 2-year old is expected to produce about a 2% reduction in the present value of lifetime income (with confidence limits of 1.8 – 2.4 %).  Based on an average 2-year old’s estimated lifetime income of $723,000, each IQ point change is therefore expected to lead to economic damage of about $14,500 in 2002 dollars (with confidence limits of about $13,000 to $17,000).  </w:t>
      </w:r>
      <w:r w:rsidR="00F316F9">
        <w:rPr>
          <w:rFonts w:ascii="Times New Roman" w:hAnsi="Times New Roman" w:cs="Times New Roman"/>
        </w:rPr>
        <w:t xml:space="preserve"> Based on this, a population mean shift in IQ of even as much as 0.5 index points, as implicitly assumed in the previous paragraph, </w:t>
      </w:r>
      <w:r>
        <w:rPr>
          <w:rFonts w:ascii="Times New Roman" w:hAnsi="Times New Roman" w:cs="Times New Roman"/>
        </w:rPr>
        <w:t>may not</w:t>
      </w:r>
      <w:r w:rsidR="00F316F9">
        <w:rPr>
          <w:rFonts w:ascii="Times New Roman" w:hAnsi="Times New Roman" w:cs="Times New Roman"/>
        </w:rPr>
        <w:t xml:space="preserve"> be considered “de minimis”.   </w:t>
      </w:r>
    </w:p>
    <w:p w:rsidR="00E77C40" w:rsidRDefault="00E77C40" w:rsidP="00B509E7">
      <w:pPr>
        <w:pStyle w:val="Heading1"/>
      </w:pPr>
      <w:bookmarkStart w:id="9" w:name="_Toc223068341"/>
      <w:r>
        <w:t>Summary</w:t>
      </w:r>
      <w:bookmarkEnd w:id="9"/>
    </w:p>
    <w:p w:rsidR="00E77C40" w:rsidRDefault="00E77C40" w:rsidP="00E77C40">
      <w:pPr>
        <w:rPr>
          <w:rFonts w:ascii="Times New Roman" w:hAnsi="Times New Roman" w:cs="Times New Roman"/>
        </w:rPr>
      </w:pPr>
    </w:p>
    <w:p w:rsidR="00E77C40" w:rsidRPr="00F316F9" w:rsidRDefault="00E77C40" w:rsidP="00E77C40">
      <w:pPr>
        <w:rPr>
          <w:rFonts w:ascii="Times New Roman" w:hAnsi="Times New Roman" w:cs="Times New Roman"/>
        </w:rPr>
      </w:pPr>
      <w:r>
        <w:rPr>
          <w:rFonts w:ascii="Times New Roman" w:hAnsi="Times New Roman" w:cs="Times New Roman"/>
        </w:rPr>
        <w:t xml:space="preserve">In carefully controlled and extensively reported epidemiology investigations, prenatal chlorpyrifos exposure has been associated with neurodevelopmental deficits in IQ and working memory in the Columbia cohort.  These findings are generally supported by similar investigations by other groups examining prenatal effects of chlorpyrifos exposure.  To make the Columbia findings useful for dose-response assessment, we have applied a Bayesian inspired PBPK model approach to convert biomarker data to intake dose.  While the uncertainty in this conversion is substantial, the range of chlorpyrifos potency estimates for changes in IQ and working memory of consequential effect size yield a greater potency than the current RfD/RfC approach on IRIS based upon cholinesterase inhibition in rodents.  Thus, we provide a way to quantitatively inform future chlorpyrifos dose response assessments with epidemiological endpoints of direct relevance to human risk.    </w:t>
      </w:r>
    </w:p>
    <w:p w:rsidR="00960004" w:rsidRPr="00F316F9" w:rsidRDefault="00F316F9" w:rsidP="00600834">
      <w:pPr>
        <w:rPr>
          <w:rFonts w:ascii="Times New Roman" w:hAnsi="Times New Roman" w:cs="Times New Roman"/>
        </w:rPr>
      </w:pPr>
      <w:r w:rsidRPr="00D115E8">
        <w:rPr>
          <w:rFonts w:ascii="Times New Roman" w:hAnsi="Times New Roman" w:cs="Times New Roman"/>
        </w:rPr>
        <w:t xml:space="preserve"> </w:t>
      </w:r>
    </w:p>
    <w:p w:rsidR="00924EC3" w:rsidRDefault="00924EC3" w:rsidP="00924EC3">
      <w:pPr>
        <w:pStyle w:val="Heading1"/>
      </w:pPr>
      <w:bookmarkStart w:id="10" w:name="_Toc223068342"/>
      <w:r>
        <w:t>Acknowledgement</w:t>
      </w:r>
      <w:r w:rsidR="00AF39CF">
        <w:t>s</w:t>
      </w:r>
      <w:bookmarkEnd w:id="10"/>
    </w:p>
    <w:p w:rsidR="00924EC3" w:rsidRDefault="00960004" w:rsidP="00924EC3">
      <w:pPr>
        <w:pStyle w:val="Body2"/>
        <w:rPr>
          <w:rFonts w:cs="Times New Roman"/>
          <w:color w:val="262626"/>
        </w:rPr>
      </w:pPr>
      <w:r>
        <w:t>Earlier versions of p</w:t>
      </w:r>
      <w:r w:rsidR="00924EC3">
        <w:t xml:space="preserve">arts of this paper have been previously submitted to EPA as a comment on </w:t>
      </w:r>
      <w:r w:rsidR="00924EC3" w:rsidRPr="00924EC3">
        <w:rPr>
          <w:rFonts w:cs="Times New Roman"/>
          <w:color w:val="262626"/>
        </w:rPr>
        <w:t>EPA-HQ-OPP-2008-0850-0053: Chlorpyrifos Registration Review; Preliminary Human Health Risk Assessment</w:t>
      </w:r>
    </w:p>
    <w:p w:rsidR="009438D1" w:rsidRDefault="00924EC3" w:rsidP="00924EC3">
      <w:pPr>
        <w:pStyle w:val="Body2"/>
        <w:rPr>
          <w:rFonts w:cs="Times New Roman"/>
          <w:color w:val="262626"/>
        </w:rPr>
      </w:pPr>
      <w:r>
        <w:rPr>
          <w:rFonts w:cs="Times New Roman"/>
          <w:color w:val="262626"/>
        </w:rPr>
        <w:lastRenderedPageBreak/>
        <w:t>Work on this paper was supported by EPA STAR Agreement #83345301</w:t>
      </w:r>
      <w:r w:rsidR="00BB6BAA">
        <w:rPr>
          <w:rFonts w:cs="Times New Roman"/>
          <w:color w:val="262626"/>
        </w:rPr>
        <w:t xml:space="preserve"> between the EPA Office of Research and Development and </w:t>
      </w:r>
      <w:r w:rsidR="00BA106C">
        <w:rPr>
          <w:rFonts w:cs="Times New Roman"/>
          <w:color w:val="262626"/>
        </w:rPr>
        <w:t>Clark University</w:t>
      </w:r>
      <w:r>
        <w:rPr>
          <w:rFonts w:cs="Times New Roman"/>
          <w:color w:val="262626"/>
        </w:rPr>
        <w:t>.  However all opinions expressed are solely those of the authors, and do not necessarily represent the views of EPA or Clark University</w:t>
      </w:r>
      <w:r w:rsidR="00BB6BAA">
        <w:rPr>
          <w:rFonts w:cs="Times New Roman"/>
          <w:color w:val="262626"/>
        </w:rPr>
        <w:t>.</w:t>
      </w:r>
    </w:p>
    <w:p w:rsidR="00343DB7" w:rsidRPr="00F316F9" w:rsidRDefault="009438D1" w:rsidP="00F316F9">
      <w:pPr>
        <w:pStyle w:val="Body2"/>
        <w:rPr>
          <w:rFonts w:cs="Times New Roman"/>
        </w:rPr>
      </w:pPr>
      <w:r>
        <w:rPr>
          <w:rFonts w:cs="Times New Roman"/>
          <w:color w:val="262626"/>
        </w:rPr>
        <w:t>We are grateful to</w:t>
      </w:r>
      <w:r w:rsidR="009C4C0E">
        <w:rPr>
          <w:rFonts w:cs="Times New Roman"/>
          <w:color w:val="262626"/>
        </w:rPr>
        <w:t xml:space="preserve"> Kerry Diskin</w:t>
      </w:r>
      <w:r w:rsidR="005A675C">
        <w:rPr>
          <w:rFonts w:cs="Times New Roman"/>
          <w:color w:val="262626"/>
        </w:rPr>
        <w:t xml:space="preserve"> </w:t>
      </w:r>
      <w:r w:rsidR="00855688">
        <w:rPr>
          <w:rFonts w:cs="Times New Roman"/>
          <w:color w:val="262626"/>
        </w:rPr>
        <w:t xml:space="preserve">and Jamie Ahn </w:t>
      </w:r>
      <w:r>
        <w:rPr>
          <w:rFonts w:cs="Times New Roman"/>
          <w:color w:val="262626"/>
        </w:rPr>
        <w:t>for technical assistance in the initial p</w:t>
      </w:r>
      <w:r w:rsidR="001420E5">
        <w:rPr>
          <w:rFonts w:cs="Times New Roman"/>
          <w:color w:val="262626"/>
        </w:rPr>
        <w:t xml:space="preserve">hases </w:t>
      </w:r>
      <w:r>
        <w:rPr>
          <w:rFonts w:cs="Times New Roman"/>
          <w:color w:val="262626"/>
        </w:rPr>
        <w:t>of the pharmacokinetic modeling used in this analysi</w:t>
      </w:r>
      <w:r w:rsidR="00122912">
        <w:rPr>
          <w:rFonts w:cs="Times New Roman"/>
          <w:color w:val="262626"/>
        </w:rPr>
        <w:t>s.</w:t>
      </w:r>
      <w:r w:rsidR="00A76192">
        <w:br w:type="page"/>
      </w:r>
    </w:p>
    <w:p w:rsidR="00FC54EA" w:rsidRPr="00FC54EA" w:rsidRDefault="00FC54EA" w:rsidP="00FC54EA">
      <w:pPr>
        <w:pStyle w:val="Body"/>
        <w:jc w:val="center"/>
        <w:rPr>
          <w:rFonts w:cs="Times New Roman"/>
          <w:noProof/>
        </w:rPr>
      </w:pPr>
      <w:r>
        <w:t>R</w:t>
      </w:r>
      <w:r w:rsidR="007A3FCF">
        <w:fldChar w:fldCharType="begin"/>
      </w:r>
      <w:r w:rsidR="00343DB7">
        <w:instrText xml:space="preserve"> ADDIN EN.REFLIST </w:instrText>
      </w:r>
      <w:r w:rsidR="007A3FCF">
        <w:fldChar w:fldCharType="separate"/>
      </w:r>
      <w:r w:rsidRPr="00FC54EA">
        <w:rPr>
          <w:rFonts w:cs="Times New Roman"/>
          <w:noProof/>
        </w:rPr>
        <w:t>eferences</w:t>
      </w:r>
    </w:p>
    <w:p w:rsidR="00FC54EA" w:rsidRPr="00FC54EA" w:rsidRDefault="00FC54EA" w:rsidP="00FC54EA">
      <w:pPr>
        <w:pStyle w:val="Body"/>
        <w:jc w:val="center"/>
        <w:rPr>
          <w:rFonts w:cs="Times New Roman"/>
          <w:noProof/>
        </w:rPr>
      </w:pPr>
    </w:p>
    <w:p w:rsidR="00FC54EA" w:rsidRDefault="00FC54EA" w:rsidP="00FC54EA">
      <w:pPr>
        <w:pStyle w:val="Body"/>
        <w:rPr>
          <w:rFonts w:cs="Times New Roman"/>
          <w:noProof/>
        </w:rPr>
      </w:pPr>
      <w:bookmarkStart w:id="11" w:name="_ENREF_1"/>
      <w:r>
        <w:rPr>
          <w:rFonts w:cs="Times New Roman"/>
          <w:noProof/>
        </w:rPr>
        <w:t>1.</w:t>
      </w:r>
      <w:r>
        <w:rPr>
          <w:rFonts w:cs="Times New Roman"/>
          <w:noProof/>
        </w:rPr>
        <w:tab/>
        <w:t>USEPA. Chlorpyrifos:  Preliminary human health risk assesment for registration review  Report No.: EPA docket item EPA-HQ-OPP-2008-0850-0025.</w:t>
      </w:r>
      <w:bookmarkEnd w:id="11"/>
    </w:p>
    <w:p w:rsidR="00FC54EA" w:rsidRDefault="00FC54EA" w:rsidP="00FC54EA">
      <w:pPr>
        <w:pStyle w:val="Body"/>
        <w:rPr>
          <w:rFonts w:cs="Times New Roman"/>
          <w:noProof/>
        </w:rPr>
      </w:pPr>
      <w:bookmarkStart w:id="12" w:name="_ENREF_2"/>
      <w:r>
        <w:rPr>
          <w:rFonts w:cs="Times New Roman"/>
          <w:noProof/>
        </w:rPr>
        <w:t>2.</w:t>
      </w:r>
      <w:r>
        <w:rPr>
          <w:rFonts w:cs="Times New Roman"/>
          <w:noProof/>
        </w:rPr>
        <w:tab/>
        <w:t>Rauh V, Arunajadai S, Horton M et al. Seven-year neurodevelopmental scores and prenatal exposure to chlorpyrifos, a common agricultural pesticide. Environ Health Perspect, 2011; 119 (8):1196-201.</w:t>
      </w:r>
      <w:bookmarkEnd w:id="12"/>
    </w:p>
    <w:p w:rsidR="00FC54EA" w:rsidRDefault="00FC54EA" w:rsidP="00FC54EA">
      <w:pPr>
        <w:pStyle w:val="Body"/>
        <w:rPr>
          <w:rFonts w:cs="Times New Roman"/>
          <w:noProof/>
        </w:rPr>
      </w:pPr>
      <w:bookmarkStart w:id="13" w:name="_ENREF_3"/>
      <w:r>
        <w:rPr>
          <w:rFonts w:cs="Times New Roman"/>
          <w:noProof/>
        </w:rPr>
        <w:t>3.</w:t>
      </w:r>
      <w:r>
        <w:rPr>
          <w:rFonts w:cs="Times New Roman"/>
          <w:noProof/>
        </w:rPr>
        <w:tab/>
        <w:t>Rauh V, Garfinkel, R, Perera, FP, Andrews, HF, Hoepner, L, Barr, DB, Whitehead, R, Tang, D, Whyatt, RM. Impact of prenatal chlorpyrifos exposure on neurodevelopment in the first 3 years of</w:t>
      </w:r>
    </w:p>
    <w:p w:rsidR="00FC54EA" w:rsidRDefault="00FC54EA" w:rsidP="00FC54EA">
      <w:pPr>
        <w:pStyle w:val="Body"/>
        <w:rPr>
          <w:rFonts w:cs="Times New Roman"/>
          <w:noProof/>
        </w:rPr>
      </w:pPr>
      <w:r>
        <w:rPr>
          <w:rFonts w:cs="Times New Roman"/>
          <w:noProof/>
        </w:rPr>
        <w:t>life among inner-city children. Pediatrics, 2006; 118:e1845-e59.</w:t>
      </w:r>
      <w:bookmarkEnd w:id="13"/>
    </w:p>
    <w:p w:rsidR="00FC54EA" w:rsidRDefault="00FC54EA" w:rsidP="00FC54EA">
      <w:pPr>
        <w:pStyle w:val="Body"/>
        <w:rPr>
          <w:rFonts w:cs="Times New Roman"/>
          <w:noProof/>
        </w:rPr>
      </w:pPr>
      <w:bookmarkStart w:id="14" w:name="_ENREF_4"/>
      <w:r>
        <w:rPr>
          <w:rFonts w:cs="Times New Roman"/>
          <w:noProof/>
        </w:rPr>
        <w:t>4.</w:t>
      </w:r>
      <w:r>
        <w:rPr>
          <w:rFonts w:cs="Times New Roman"/>
          <w:noProof/>
        </w:rPr>
        <w:tab/>
        <w:t>Whyatt R, Rauh, V, Barr, DB, Camann, DE, Andrews, HF, Garfinkel, R, Hoepner, LA, Dazi, D, Dietrich, J, Reyes, A, Tang, D, Kinney, P, Perera, FP. Prenatal insecticide exposures and birth weight and length among an urban minority cohort. Environmental Health Perspectives, 2004; 112 (10):1125-32.</w:t>
      </w:r>
      <w:bookmarkEnd w:id="14"/>
    </w:p>
    <w:p w:rsidR="00FC54EA" w:rsidRDefault="00FC54EA" w:rsidP="00FC54EA">
      <w:pPr>
        <w:pStyle w:val="Body"/>
        <w:rPr>
          <w:rFonts w:cs="Times New Roman"/>
          <w:noProof/>
        </w:rPr>
      </w:pPr>
      <w:bookmarkStart w:id="15" w:name="_ENREF_5"/>
      <w:r>
        <w:rPr>
          <w:rFonts w:cs="Times New Roman"/>
          <w:noProof/>
        </w:rPr>
        <w:t>5.</w:t>
      </w:r>
      <w:r>
        <w:rPr>
          <w:rFonts w:cs="Times New Roman"/>
          <w:noProof/>
        </w:rPr>
        <w:tab/>
        <w:t>Horton M, Kahn, LG, Perera, F, Barr, DB, Rauh, V. Does the home environment and the sex of the child modify the adverse effects of</w:t>
      </w:r>
    </w:p>
    <w:p w:rsidR="00FC54EA" w:rsidRDefault="00FC54EA" w:rsidP="00FC54EA">
      <w:pPr>
        <w:pStyle w:val="Body"/>
        <w:rPr>
          <w:rFonts w:cs="Times New Roman"/>
          <w:noProof/>
        </w:rPr>
      </w:pPr>
      <w:r>
        <w:rPr>
          <w:rFonts w:cs="Times New Roman"/>
          <w:noProof/>
        </w:rPr>
        <w:t>prenatal exposure to chlorpyrifos on child working memory? Neurotoxicology and Teratology, 2012; in press.</w:t>
      </w:r>
      <w:bookmarkEnd w:id="15"/>
    </w:p>
    <w:p w:rsidR="00FC54EA" w:rsidRDefault="00FC54EA" w:rsidP="00FC54EA">
      <w:pPr>
        <w:pStyle w:val="Body"/>
        <w:rPr>
          <w:rFonts w:cs="Times New Roman"/>
          <w:noProof/>
        </w:rPr>
      </w:pPr>
      <w:bookmarkStart w:id="16" w:name="_ENREF_6"/>
      <w:r>
        <w:rPr>
          <w:rFonts w:cs="Times New Roman"/>
          <w:noProof/>
        </w:rPr>
        <w:t>6.</w:t>
      </w:r>
      <w:r>
        <w:rPr>
          <w:rFonts w:cs="Times New Roman"/>
          <w:noProof/>
        </w:rPr>
        <w:tab/>
        <w:t>Engel S, Wetmur, J, Chen, J, Zhu, C, Barr, DP, Canfield, RL, Wolff, MS. Prenatal exposure to organophosphates, paraoxonase 1, and cognitive development in childhood. Environmental Health Perspectives, 2011; 119 (8):1182-8.</w:t>
      </w:r>
      <w:bookmarkEnd w:id="16"/>
    </w:p>
    <w:p w:rsidR="00FC54EA" w:rsidRDefault="00FC54EA" w:rsidP="00FC54EA">
      <w:pPr>
        <w:pStyle w:val="Body"/>
        <w:rPr>
          <w:rFonts w:cs="Times New Roman"/>
          <w:noProof/>
        </w:rPr>
      </w:pPr>
      <w:bookmarkStart w:id="17" w:name="_ENREF_7"/>
      <w:r>
        <w:rPr>
          <w:rFonts w:cs="Times New Roman"/>
          <w:noProof/>
        </w:rPr>
        <w:t>7.</w:t>
      </w:r>
      <w:r>
        <w:rPr>
          <w:rFonts w:cs="Times New Roman"/>
          <w:noProof/>
        </w:rPr>
        <w:tab/>
        <w:t>Bouchard M, Chevrier, J, Harley, KG, Kogut, K, Vedar, M, Calderon, N, Trujillo, C, Johnson, C, Bradman, A, Barr, DB, Eskenazi, B. Prenatal exposure to organophosphate pesticides and iq in 7-year-old children. Environmental Health Perspectives, 2011; 119 (8):1189-95.</w:t>
      </w:r>
      <w:bookmarkEnd w:id="17"/>
    </w:p>
    <w:p w:rsidR="00FC54EA" w:rsidRDefault="00FC54EA" w:rsidP="00FC54EA">
      <w:pPr>
        <w:pStyle w:val="Body"/>
        <w:rPr>
          <w:rFonts w:cs="Times New Roman"/>
          <w:noProof/>
        </w:rPr>
      </w:pPr>
      <w:bookmarkStart w:id="18" w:name="_ENREF_8"/>
      <w:r>
        <w:rPr>
          <w:rFonts w:cs="Times New Roman"/>
          <w:noProof/>
        </w:rPr>
        <w:t>8.</w:t>
      </w:r>
      <w:r>
        <w:rPr>
          <w:rFonts w:cs="Times New Roman"/>
          <w:noProof/>
        </w:rPr>
        <w:tab/>
        <w:t>Eskenazi B, Marks, AR, Bradman, A, Harley, K, Barr, DB, Johnson, C, Morgan, N, Jewell, NP. Organophosphate pesticide exposure and neurodevelopment in young mexican-american</w:t>
      </w:r>
    </w:p>
    <w:p w:rsidR="00FC54EA" w:rsidRDefault="00FC54EA" w:rsidP="00FC54EA">
      <w:pPr>
        <w:pStyle w:val="Body"/>
        <w:rPr>
          <w:rFonts w:cs="Times New Roman"/>
          <w:noProof/>
        </w:rPr>
      </w:pPr>
      <w:r>
        <w:rPr>
          <w:rFonts w:cs="Times New Roman"/>
          <w:noProof/>
        </w:rPr>
        <w:t>children. Environmental Health Perspectives, 2007; 115:792-8.</w:t>
      </w:r>
      <w:bookmarkEnd w:id="18"/>
    </w:p>
    <w:p w:rsidR="00FC54EA" w:rsidRDefault="00FC54EA" w:rsidP="00FC54EA">
      <w:pPr>
        <w:pStyle w:val="Body"/>
        <w:rPr>
          <w:rFonts w:cs="Times New Roman"/>
          <w:noProof/>
        </w:rPr>
      </w:pPr>
      <w:bookmarkStart w:id="19" w:name="_ENREF_9"/>
      <w:r>
        <w:rPr>
          <w:rFonts w:cs="Times New Roman"/>
          <w:noProof/>
        </w:rPr>
        <w:t>9.</w:t>
      </w:r>
      <w:r>
        <w:rPr>
          <w:rFonts w:cs="Times New Roman"/>
          <w:noProof/>
        </w:rPr>
        <w:tab/>
        <w:t>Slotkin TA, Seidler FJ. Developmental neurotoxicity of organophosphates targets cell cycle and apoptosis, revealed by transcriptional profiles in vivo and in vitro. Neurotoxicology and teratology, 2012; 34 (2):232-41.</w:t>
      </w:r>
      <w:bookmarkEnd w:id="19"/>
    </w:p>
    <w:p w:rsidR="00FC54EA" w:rsidRDefault="00FC54EA" w:rsidP="00FC54EA">
      <w:pPr>
        <w:pStyle w:val="Body"/>
        <w:rPr>
          <w:rFonts w:cs="Times New Roman"/>
          <w:noProof/>
        </w:rPr>
      </w:pPr>
      <w:bookmarkStart w:id="20" w:name="_ENREF_10"/>
      <w:r>
        <w:rPr>
          <w:rFonts w:cs="Times New Roman"/>
          <w:noProof/>
        </w:rPr>
        <w:lastRenderedPageBreak/>
        <w:t>10.</w:t>
      </w:r>
      <w:r>
        <w:rPr>
          <w:rFonts w:cs="Times New Roman"/>
          <w:noProof/>
        </w:rPr>
        <w:tab/>
        <w:t>Yang D, Howard A, Bruun D et al. Chlorpyrifos and chlorpyrifos-oxon inhibit axonal growth by interfering with the morphogenic activity of acetylcholinesterase. Toxicology and applied pharmacology, 2008; 228 (1):32-41.</w:t>
      </w:r>
      <w:bookmarkEnd w:id="20"/>
    </w:p>
    <w:p w:rsidR="00FC54EA" w:rsidRDefault="00FC54EA" w:rsidP="00FC54EA">
      <w:pPr>
        <w:pStyle w:val="Body"/>
        <w:rPr>
          <w:rFonts w:cs="Times New Roman"/>
          <w:noProof/>
        </w:rPr>
      </w:pPr>
      <w:bookmarkStart w:id="21" w:name="_ENREF_11"/>
      <w:r>
        <w:rPr>
          <w:rFonts w:cs="Times New Roman"/>
          <w:noProof/>
        </w:rPr>
        <w:t>11.</w:t>
      </w:r>
      <w:r>
        <w:rPr>
          <w:rFonts w:cs="Times New Roman"/>
          <w:noProof/>
        </w:rPr>
        <w:tab/>
        <w:t>Kisicki J, Seip, CW, Combs, ML. A rising dose toxicology study to determine the no-observable-effect-levels (for erthyrocyte acetylcholinesterase (ache) inhibition and cholinergic signs and symptoms of chlorpyrifos at three dose levels.MDC Harris Laboratory, Lincoln Nebraska, April 18, 1999  Report No.: MRID No.: 44811002.</w:t>
      </w:r>
      <w:bookmarkEnd w:id="21"/>
    </w:p>
    <w:p w:rsidR="00FC54EA" w:rsidRDefault="00FC54EA" w:rsidP="00FC54EA">
      <w:pPr>
        <w:pStyle w:val="Body"/>
        <w:rPr>
          <w:rFonts w:cs="Times New Roman"/>
          <w:noProof/>
        </w:rPr>
      </w:pPr>
      <w:bookmarkStart w:id="22" w:name="_ENREF_12"/>
      <w:r>
        <w:rPr>
          <w:rFonts w:cs="Times New Roman"/>
          <w:noProof/>
        </w:rPr>
        <w:t>12.</w:t>
      </w:r>
      <w:r>
        <w:rPr>
          <w:rFonts w:cs="Times New Roman"/>
          <w:noProof/>
        </w:rPr>
        <w:tab/>
        <w:t>Nolan RJ, Rick DL, Freshour NL et al. Chlorpyrifos: Pharmacokinetics in human volunteers. Toxicol Appl Pharmacol, 1984; 73 (1):8-15.</w:t>
      </w:r>
      <w:bookmarkEnd w:id="22"/>
    </w:p>
    <w:p w:rsidR="00FC54EA" w:rsidRDefault="00FC54EA" w:rsidP="00FC54EA">
      <w:pPr>
        <w:pStyle w:val="Body"/>
        <w:rPr>
          <w:rFonts w:cs="Times New Roman"/>
          <w:noProof/>
        </w:rPr>
      </w:pPr>
      <w:bookmarkStart w:id="23" w:name="_ENREF_13"/>
      <w:r>
        <w:rPr>
          <w:rFonts w:cs="Times New Roman"/>
          <w:noProof/>
        </w:rPr>
        <w:t>13.</w:t>
      </w:r>
      <w:r>
        <w:rPr>
          <w:rFonts w:cs="Times New Roman"/>
          <w:noProof/>
        </w:rPr>
        <w:tab/>
        <w:t>Bedford T, Cooke, R. Probabilistic risk analysis:  Foundations and methods. Cambridge, UK: Cambridge University Press; 2001.</w:t>
      </w:r>
      <w:bookmarkEnd w:id="23"/>
    </w:p>
    <w:p w:rsidR="00FC54EA" w:rsidRDefault="00FC54EA" w:rsidP="00FC54EA">
      <w:pPr>
        <w:pStyle w:val="Body"/>
        <w:rPr>
          <w:rFonts w:cs="Times New Roman"/>
          <w:noProof/>
        </w:rPr>
      </w:pPr>
      <w:bookmarkStart w:id="24" w:name="_ENREF_14"/>
      <w:r>
        <w:rPr>
          <w:rFonts w:cs="Times New Roman"/>
          <w:noProof/>
        </w:rPr>
        <w:t>14.</w:t>
      </w:r>
      <w:r>
        <w:rPr>
          <w:rFonts w:cs="Times New Roman"/>
          <w:noProof/>
        </w:rPr>
        <w:tab/>
        <w:t>Gelman A, Carlin, J, Stern, H, Rubin D. Bayesian data analysis, 2nd edition. Boca Raton, FL: Chapman and Hall/CRC Press; 2004.</w:t>
      </w:r>
      <w:bookmarkEnd w:id="24"/>
    </w:p>
    <w:p w:rsidR="00FC54EA" w:rsidRDefault="00FC54EA" w:rsidP="00FC54EA">
      <w:pPr>
        <w:pStyle w:val="Body"/>
        <w:rPr>
          <w:rFonts w:cs="Times New Roman"/>
          <w:noProof/>
        </w:rPr>
      </w:pPr>
      <w:bookmarkStart w:id="25" w:name="_ENREF_15"/>
      <w:r>
        <w:rPr>
          <w:rFonts w:cs="Times New Roman"/>
          <w:noProof/>
        </w:rPr>
        <w:t>15.</w:t>
      </w:r>
      <w:r>
        <w:rPr>
          <w:rFonts w:cs="Times New Roman"/>
          <w:noProof/>
        </w:rPr>
        <w:tab/>
        <w:t>Robert C. The bayesian choice, 2nd edition. New York, NY: Springer; 2007.</w:t>
      </w:r>
      <w:bookmarkEnd w:id="25"/>
    </w:p>
    <w:p w:rsidR="00FC54EA" w:rsidRDefault="00FC54EA" w:rsidP="00FC54EA">
      <w:pPr>
        <w:pStyle w:val="Body"/>
        <w:rPr>
          <w:rFonts w:cs="Times New Roman"/>
          <w:noProof/>
        </w:rPr>
      </w:pPr>
      <w:bookmarkStart w:id="26" w:name="_ENREF_16"/>
      <w:r>
        <w:rPr>
          <w:rFonts w:cs="Times New Roman"/>
          <w:noProof/>
        </w:rPr>
        <w:t>16.</w:t>
      </w:r>
      <w:r>
        <w:rPr>
          <w:rFonts w:cs="Times New Roman"/>
          <w:noProof/>
        </w:rPr>
        <w:tab/>
        <w:t>Timchalk C. Pbpk/pd model simulation of dosimetry for chlorpyrifos following inhalation exposureCenter for Biological Monitoring &amp; Modeling, Battelle, August 28, 2008.</w:t>
      </w:r>
      <w:bookmarkEnd w:id="26"/>
    </w:p>
    <w:p w:rsidR="00FC54EA" w:rsidRDefault="00FC54EA" w:rsidP="00FC54EA">
      <w:pPr>
        <w:pStyle w:val="Body"/>
        <w:rPr>
          <w:rFonts w:cs="Times New Roman"/>
          <w:noProof/>
        </w:rPr>
      </w:pPr>
      <w:bookmarkStart w:id="27" w:name="_ENREF_17"/>
      <w:r>
        <w:rPr>
          <w:rFonts w:cs="Times New Roman"/>
          <w:noProof/>
        </w:rPr>
        <w:t>17.</w:t>
      </w:r>
      <w:r>
        <w:rPr>
          <w:rFonts w:cs="Times New Roman"/>
          <w:noProof/>
        </w:rPr>
        <w:tab/>
        <w:t>Smith JN, Timchalk C, Bartels MJ et al. In vitro age-dependent enzymatic metabolism of chlorpyrifos and chlorpyrifos-oxon in human hepatic microsomes and chlorpyrifos-oxon in plasma. Drug metabolism and disposition: the biological fate of chemicals, 2011; 39 (8):1353-62.</w:t>
      </w:r>
      <w:bookmarkEnd w:id="27"/>
    </w:p>
    <w:p w:rsidR="00FC54EA" w:rsidRDefault="00FC54EA" w:rsidP="00FC54EA">
      <w:pPr>
        <w:pStyle w:val="Body"/>
        <w:rPr>
          <w:rFonts w:cs="Times New Roman"/>
          <w:noProof/>
        </w:rPr>
      </w:pPr>
      <w:bookmarkStart w:id="28" w:name="_ENREF_18"/>
      <w:r>
        <w:rPr>
          <w:rFonts w:cs="Times New Roman"/>
          <w:noProof/>
        </w:rPr>
        <w:t>18.</w:t>
      </w:r>
      <w:r>
        <w:rPr>
          <w:rFonts w:cs="Times New Roman"/>
          <w:noProof/>
        </w:rPr>
        <w:tab/>
        <w:t>Smith JN, Timchalk C, Bartels MJ et al. In vitro age-dependent enzymatic metabolism of chlorpyrifos and chlorpyrifos-oxon in human hepatic microsomes and chlorpyrifos-oxon in plasma. Drug Metab Dispos; 39 (8):1353-62.</w:t>
      </w:r>
      <w:bookmarkEnd w:id="28"/>
    </w:p>
    <w:p w:rsidR="00FC54EA" w:rsidRDefault="00FC54EA" w:rsidP="00FC54EA">
      <w:pPr>
        <w:pStyle w:val="Body"/>
        <w:rPr>
          <w:rFonts w:cs="Times New Roman"/>
          <w:noProof/>
        </w:rPr>
      </w:pPr>
      <w:bookmarkStart w:id="29" w:name="_ENREF_19"/>
      <w:r>
        <w:rPr>
          <w:rFonts w:cs="Times New Roman"/>
          <w:noProof/>
        </w:rPr>
        <w:t>19.</w:t>
      </w:r>
      <w:r>
        <w:rPr>
          <w:rFonts w:cs="Times New Roman"/>
          <w:noProof/>
        </w:rPr>
        <w:tab/>
        <w:t>Anonymous. Epa summary of mrid 00124144 nolan. R. J.; freshner, n.L.; et al. (1982) chlorpyrifos: Pharmacokinetics in human volunteers following single oral and dermal doses toxicology and applied pharmacology. 73, 8-15 (1984). EPA Hearing Docket #EPA-HQ-OPP-2008-0274-0012.2.pdf, 2008.</w:t>
      </w:r>
      <w:bookmarkEnd w:id="29"/>
    </w:p>
    <w:p w:rsidR="00FC54EA" w:rsidRDefault="00FC54EA" w:rsidP="00FC54EA">
      <w:pPr>
        <w:pStyle w:val="Body"/>
        <w:rPr>
          <w:rFonts w:cs="Times New Roman"/>
          <w:noProof/>
        </w:rPr>
      </w:pPr>
      <w:bookmarkStart w:id="30" w:name="_ENREF_20"/>
      <w:r>
        <w:rPr>
          <w:rFonts w:cs="Times New Roman"/>
          <w:noProof/>
        </w:rPr>
        <w:t>20.</w:t>
      </w:r>
      <w:r>
        <w:rPr>
          <w:rFonts w:cs="Times New Roman"/>
          <w:noProof/>
        </w:rPr>
        <w:tab/>
        <w:t>Brzak K. A rising dose toxicology study to determine the no-observable-effect levels for erthyrocyte acetylcholinesterase (ache) inhibition and cholinergic signs and symptoms of chlorpyrifos at three dose levels - part b (pharmacokinetic and paraoxonase data).Toxicology and Environmental Research and Consulting, June 5, 2000  Report No.: Study No.: 981176, June 5, 2000. MRID No.: 45144101.</w:t>
      </w:r>
      <w:bookmarkEnd w:id="30"/>
    </w:p>
    <w:p w:rsidR="00FC54EA" w:rsidRDefault="00FC54EA" w:rsidP="00FC54EA">
      <w:pPr>
        <w:pStyle w:val="Body"/>
        <w:rPr>
          <w:rFonts w:cs="Times New Roman"/>
          <w:noProof/>
        </w:rPr>
      </w:pPr>
      <w:bookmarkStart w:id="31" w:name="_ENREF_21"/>
      <w:r>
        <w:rPr>
          <w:rFonts w:cs="Times New Roman"/>
          <w:noProof/>
        </w:rPr>
        <w:t>21.</w:t>
      </w:r>
      <w:r>
        <w:rPr>
          <w:rFonts w:cs="Times New Roman"/>
          <w:noProof/>
        </w:rPr>
        <w:tab/>
        <w:t>Loebstein R, Lalkin, A, Koren, G. Pharmacokinetic changes during pregnancy and their clinical relevance. Clinical Pharmacokinetics, 1997; 33:328-43.</w:t>
      </w:r>
      <w:bookmarkEnd w:id="31"/>
    </w:p>
    <w:p w:rsidR="00FC54EA" w:rsidRDefault="00FC54EA" w:rsidP="00FC54EA">
      <w:pPr>
        <w:pStyle w:val="Body"/>
        <w:rPr>
          <w:rFonts w:cs="Times New Roman"/>
          <w:noProof/>
        </w:rPr>
      </w:pPr>
      <w:bookmarkStart w:id="32" w:name="_ENREF_22"/>
      <w:r>
        <w:rPr>
          <w:rFonts w:cs="Times New Roman"/>
          <w:noProof/>
        </w:rPr>
        <w:t>22.</w:t>
      </w:r>
      <w:r>
        <w:rPr>
          <w:rFonts w:cs="Times New Roman"/>
          <w:noProof/>
        </w:rPr>
        <w:tab/>
        <w:t>Lowe ER, Poet TS, Rick DL et al. The effect of plasma lipids on the pharmacokinetics of chlorpyrifos and the impact on interpretation of blood biomonitoring data. Toxicol Sci, 2009; 108 (2):258-72.</w:t>
      </w:r>
      <w:bookmarkEnd w:id="32"/>
    </w:p>
    <w:p w:rsidR="00FC54EA" w:rsidRDefault="00FC54EA" w:rsidP="00FC54EA">
      <w:pPr>
        <w:pStyle w:val="Body"/>
        <w:rPr>
          <w:rFonts w:cs="Times New Roman"/>
          <w:noProof/>
        </w:rPr>
      </w:pPr>
      <w:bookmarkStart w:id="33" w:name="_ENREF_23"/>
      <w:r>
        <w:rPr>
          <w:rFonts w:cs="Times New Roman"/>
          <w:noProof/>
        </w:rPr>
        <w:lastRenderedPageBreak/>
        <w:t>23.</w:t>
      </w:r>
      <w:r>
        <w:rPr>
          <w:rFonts w:cs="Times New Roman"/>
          <w:noProof/>
        </w:rPr>
        <w:tab/>
        <w:t>Eaton DL, Daroff RB, Autrup H et al. Review of the toxicology of chlorpyrifos with an emphasis on human exposure and neurodevelopment. Crit Rev Toxicol, 2008; 38 Suppl 2:1-125.</w:t>
      </w:r>
      <w:bookmarkEnd w:id="33"/>
    </w:p>
    <w:p w:rsidR="00FC54EA" w:rsidRDefault="00FC54EA" w:rsidP="00FC54EA">
      <w:pPr>
        <w:pStyle w:val="Body"/>
        <w:rPr>
          <w:rFonts w:cs="Times New Roman"/>
          <w:noProof/>
        </w:rPr>
      </w:pPr>
      <w:bookmarkStart w:id="34" w:name="_ENREF_24"/>
      <w:r>
        <w:rPr>
          <w:rFonts w:cs="Times New Roman"/>
          <w:noProof/>
        </w:rPr>
        <w:t>24.</w:t>
      </w:r>
      <w:r>
        <w:rPr>
          <w:rFonts w:cs="Times New Roman"/>
          <w:noProof/>
        </w:rPr>
        <w:tab/>
        <w:t>Ito K, Houston, JB. Prediction of human drug clearance from in vitro and preclinical data using physiologically based and empirical approaches. Pharmaceutical research, 2005; 22 (1):103-12.</w:t>
      </w:r>
      <w:bookmarkEnd w:id="34"/>
    </w:p>
    <w:p w:rsidR="00FC54EA" w:rsidRDefault="00FC54EA" w:rsidP="00FC54EA">
      <w:pPr>
        <w:pStyle w:val="Body"/>
        <w:rPr>
          <w:rFonts w:cs="Times New Roman"/>
          <w:noProof/>
        </w:rPr>
      </w:pPr>
      <w:bookmarkStart w:id="35" w:name="_ENREF_25"/>
      <w:r>
        <w:rPr>
          <w:rFonts w:cs="Times New Roman"/>
          <w:noProof/>
        </w:rPr>
        <w:t>25.</w:t>
      </w:r>
      <w:r>
        <w:rPr>
          <w:rFonts w:cs="Times New Roman"/>
          <w:noProof/>
        </w:rPr>
        <w:tab/>
        <w:t>Knuppel RA, Sbarra AJ, Cetrulo CL et al. 24-hour urine creatinine excretion in pregnancy. Obstet Gynecol, 1979; 54 (3):327-9.</w:t>
      </w:r>
      <w:bookmarkEnd w:id="35"/>
    </w:p>
    <w:p w:rsidR="00FC54EA" w:rsidRDefault="00FC54EA" w:rsidP="00FC54EA">
      <w:pPr>
        <w:pStyle w:val="Body"/>
        <w:rPr>
          <w:rFonts w:cs="Times New Roman"/>
          <w:noProof/>
        </w:rPr>
      </w:pPr>
      <w:bookmarkStart w:id="36" w:name="_ENREF_26"/>
      <w:r>
        <w:rPr>
          <w:rFonts w:cs="Times New Roman"/>
          <w:noProof/>
        </w:rPr>
        <w:t>26.</w:t>
      </w:r>
      <w:r>
        <w:rPr>
          <w:rFonts w:cs="Times New Roman"/>
          <w:noProof/>
        </w:rPr>
        <w:tab/>
        <w:t>Doherty J, Taylor L. Data evaluation record, special rbc ache in humansU.S. Environmental Protection Agency  Report No.: DP Barcode: D255538; PC Code: 059101, Submission No. S561108.</w:t>
      </w:r>
      <w:bookmarkEnd w:id="36"/>
    </w:p>
    <w:p w:rsidR="00FC54EA" w:rsidRDefault="00FC54EA" w:rsidP="00FC54EA">
      <w:pPr>
        <w:pStyle w:val="Body"/>
        <w:rPr>
          <w:rFonts w:cs="Times New Roman"/>
          <w:noProof/>
        </w:rPr>
      </w:pPr>
      <w:bookmarkStart w:id="37" w:name="_ENREF_27"/>
      <w:r>
        <w:rPr>
          <w:rFonts w:cs="Times New Roman"/>
          <w:noProof/>
        </w:rPr>
        <w:t>27.</w:t>
      </w:r>
      <w:r>
        <w:rPr>
          <w:rFonts w:cs="Times New Roman"/>
          <w:noProof/>
        </w:rPr>
        <w:tab/>
        <w:t>Carlisle J, Dowling, KC, Siegel, DM, Alexeef, GV. A blood lead benchmark for assessing risks from childhood lead exposure. J. Environ. Sci. Health A Tox. Hazard. Subst. Environ. Eng., 2009; 44 (12):1200-8.</w:t>
      </w:r>
      <w:bookmarkEnd w:id="37"/>
    </w:p>
    <w:p w:rsidR="00FC54EA" w:rsidRDefault="00FC54EA" w:rsidP="00FC54EA">
      <w:pPr>
        <w:pStyle w:val="Body"/>
        <w:rPr>
          <w:rFonts w:cs="Times New Roman"/>
          <w:noProof/>
        </w:rPr>
      </w:pPr>
      <w:bookmarkStart w:id="38" w:name="_ENREF_28"/>
      <w:r>
        <w:rPr>
          <w:rFonts w:cs="Times New Roman"/>
          <w:noProof/>
        </w:rPr>
        <w:t>28.</w:t>
      </w:r>
      <w:r>
        <w:rPr>
          <w:rFonts w:cs="Times New Roman"/>
          <w:noProof/>
        </w:rPr>
        <w:tab/>
        <w:t>Grosse S, Matte, TD, Schwartz, J, Jackson, RJ. Economic gains resulting from the reduction in children’s exposure to lead</w:t>
      </w:r>
    </w:p>
    <w:p w:rsidR="00FC54EA" w:rsidRDefault="00FC54EA" w:rsidP="00FC54EA">
      <w:pPr>
        <w:pStyle w:val="Body"/>
        <w:rPr>
          <w:rFonts w:cs="Times New Roman"/>
          <w:noProof/>
        </w:rPr>
      </w:pPr>
      <w:r>
        <w:rPr>
          <w:rFonts w:cs="Times New Roman"/>
          <w:noProof/>
        </w:rPr>
        <w:t>in the united states. Environmental Health Perspectives, 2002; 110:563-9.</w:t>
      </w:r>
      <w:bookmarkEnd w:id="38"/>
    </w:p>
    <w:p w:rsidR="00FC54EA" w:rsidRDefault="00FC54EA" w:rsidP="00FC54EA">
      <w:pPr>
        <w:pStyle w:val="Body"/>
        <w:rPr>
          <w:rFonts w:cs="Times New Roman"/>
          <w:noProof/>
        </w:rPr>
      </w:pPr>
    </w:p>
    <w:p w:rsidR="00343DB7" w:rsidRPr="00320DA9" w:rsidRDefault="007A3FCF" w:rsidP="00343DB7">
      <w:pPr>
        <w:pStyle w:val="Body"/>
      </w:pPr>
      <w:r>
        <w:fldChar w:fldCharType="end"/>
      </w:r>
    </w:p>
    <w:sectPr w:rsidR="00343DB7" w:rsidRPr="00320DA9" w:rsidSect="00191DA3">
      <w:pgSz w:w="12240" w:h="15840"/>
      <w:pgMar w:top="1440" w:right="1354"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8C4" w:rsidRDefault="00E138C4">
      <w:r>
        <w:separator/>
      </w:r>
    </w:p>
  </w:endnote>
  <w:endnote w:type="continuationSeparator" w:id="0">
    <w:p w:rsidR="00E138C4" w:rsidRDefault="00E13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1A" w:rsidRDefault="007A3FCF" w:rsidP="00CF5988">
    <w:pPr>
      <w:pStyle w:val="Footer"/>
      <w:framePr w:wrap="around" w:vAnchor="text" w:hAnchor="margin" w:xAlign="center" w:y="1"/>
      <w:rPr>
        <w:rStyle w:val="PageNumber"/>
      </w:rPr>
    </w:pPr>
    <w:r>
      <w:rPr>
        <w:rStyle w:val="PageNumber"/>
      </w:rPr>
      <w:fldChar w:fldCharType="begin"/>
    </w:r>
    <w:r w:rsidR="0027651A">
      <w:rPr>
        <w:rStyle w:val="PageNumber"/>
      </w:rPr>
      <w:instrText xml:space="preserve">PAGE  </w:instrText>
    </w:r>
    <w:r>
      <w:rPr>
        <w:rStyle w:val="PageNumber"/>
      </w:rPr>
      <w:fldChar w:fldCharType="end"/>
    </w:r>
  </w:p>
  <w:p w:rsidR="0027651A" w:rsidRDefault="002765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1A" w:rsidRDefault="007A3FCF" w:rsidP="00CF5988">
    <w:pPr>
      <w:pStyle w:val="Footer"/>
      <w:framePr w:wrap="around" w:vAnchor="text" w:hAnchor="margin" w:xAlign="center" w:y="1"/>
      <w:rPr>
        <w:rStyle w:val="PageNumber"/>
      </w:rPr>
    </w:pPr>
    <w:r>
      <w:rPr>
        <w:rStyle w:val="PageNumber"/>
      </w:rPr>
      <w:fldChar w:fldCharType="begin"/>
    </w:r>
    <w:r w:rsidR="0027651A">
      <w:rPr>
        <w:rStyle w:val="PageNumber"/>
      </w:rPr>
      <w:instrText xml:space="preserve">PAGE  </w:instrText>
    </w:r>
    <w:r>
      <w:rPr>
        <w:rStyle w:val="PageNumber"/>
      </w:rPr>
      <w:fldChar w:fldCharType="separate"/>
    </w:r>
    <w:r w:rsidR="00CE4BA4">
      <w:rPr>
        <w:rStyle w:val="PageNumber"/>
        <w:noProof/>
      </w:rPr>
      <w:t>16</w:t>
    </w:r>
    <w:r>
      <w:rPr>
        <w:rStyle w:val="PageNumber"/>
      </w:rPr>
      <w:fldChar w:fldCharType="end"/>
    </w:r>
  </w:p>
  <w:p w:rsidR="0027651A" w:rsidRDefault="002765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1A" w:rsidRDefault="007A3FCF" w:rsidP="00191DA3">
    <w:pPr>
      <w:pStyle w:val="Footer"/>
      <w:framePr w:wrap="around" w:vAnchor="text" w:hAnchor="margin" w:xAlign="center" w:y="1"/>
      <w:rPr>
        <w:rStyle w:val="PageNumber"/>
      </w:rPr>
    </w:pPr>
    <w:r>
      <w:rPr>
        <w:rStyle w:val="PageNumber"/>
      </w:rPr>
      <w:fldChar w:fldCharType="begin"/>
    </w:r>
    <w:r w:rsidR="0027651A">
      <w:rPr>
        <w:rStyle w:val="PageNumber"/>
      </w:rPr>
      <w:instrText xml:space="preserve">PAGE  </w:instrText>
    </w:r>
    <w:r>
      <w:rPr>
        <w:rStyle w:val="PageNumber"/>
      </w:rPr>
      <w:fldChar w:fldCharType="end"/>
    </w:r>
  </w:p>
  <w:p w:rsidR="0027651A" w:rsidRDefault="0027651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1A" w:rsidRDefault="007A3FCF" w:rsidP="00191DA3">
    <w:pPr>
      <w:pStyle w:val="Footer"/>
      <w:framePr w:wrap="around" w:vAnchor="text" w:hAnchor="margin" w:xAlign="center" w:y="1"/>
      <w:rPr>
        <w:rStyle w:val="PageNumber"/>
      </w:rPr>
    </w:pPr>
    <w:r>
      <w:rPr>
        <w:rStyle w:val="PageNumber"/>
      </w:rPr>
      <w:fldChar w:fldCharType="begin"/>
    </w:r>
    <w:r w:rsidR="0027651A">
      <w:rPr>
        <w:rStyle w:val="PageNumber"/>
      </w:rPr>
      <w:instrText xml:space="preserve">PAGE  </w:instrText>
    </w:r>
    <w:r>
      <w:rPr>
        <w:rStyle w:val="PageNumber"/>
      </w:rPr>
      <w:fldChar w:fldCharType="separate"/>
    </w:r>
    <w:r w:rsidR="00CE4BA4">
      <w:rPr>
        <w:rStyle w:val="PageNumber"/>
        <w:noProof/>
      </w:rPr>
      <w:t>28</w:t>
    </w:r>
    <w:r>
      <w:rPr>
        <w:rStyle w:val="PageNumber"/>
      </w:rPr>
      <w:fldChar w:fldCharType="end"/>
    </w:r>
  </w:p>
  <w:p w:rsidR="0027651A" w:rsidRDefault="00276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8C4" w:rsidRDefault="00E138C4">
      <w:r>
        <w:separator/>
      </w:r>
    </w:p>
  </w:footnote>
  <w:footnote w:type="continuationSeparator" w:id="0">
    <w:p w:rsidR="00E138C4" w:rsidRDefault="00E13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87F"/>
    <w:multiLevelType w:val="hybridMultilevel"/>
    <w:tmpl w:val="CE6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20361"/>
    <w:multiLevelType w:val="hybridMultilevel"/>
    <w:tmpl w:val="7DF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0113D"/>
    <w:multiLevelType w:val="hybridMultilevel"/>
    <w:tmpl w:val="ECF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B4138"/>
    <w:multiLevelType w:val="hybridMultilevel"/>
    <w:tmpl w:val="9F8E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2657F"/>
    <w:multiLevelType w:val="hybridMultilevel"/>
    <w:tmpl w:val="1AB863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69720B4C"/>
    <w:multiLevelType w:val="hybridMultilevel"/>
    <w:tmpl w:val="D16E16C0"/>
    <w:lvl w:ilvl="0" w:tplc="4360193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doNotAutofitConstrainedTables/>
    <w:splitPgBreakAndParaMark/>
  </w:compat>
  <w:docVars>
    <w:docVar w:name="EN.InstantFormat" w:val="&lt;ENInstantFormat&gt;&lt;Enabled&gt;1&lt;/Enabled&gt;&lt;ScanUnformatted&gt;1&lt;/ScanUnformatted&gt;&lt;ScanChanges&gt;1&lt;/ScanChanges&gt;&lt;Suspended&gt;0&lt;/Suspended&gt;&lt;/ENInstantFormat&gt;"/>
    <w:docVar w:name="EN.Layout" w:val="&lt;ENLayout&gt;&lt;Style&gt;Risk Analysis&lt;/Style&gt;&lt;LeftDelim&gt;{&lt;/LeftDelim&gt;&lt;RightDelim&gt;}&lt;/RightDelim&gt;&lt;FontName&gt;Times New Roman&lt;/FontName&gt;&lt;FontSize&gt;12&lt;/FontSize&gt;&lt;ReflistTitle&gt;nextgen 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pt5x9twmavw5feppw2p0x27wdvz92ez0va2&quot;&gt;Chlorpyrifos 9_11&lt;record-ids&gt;&lt;item&gt;80&lt;/item&gt;&lt;item&gt;90&lt;/item&gt;&lt;item&gt;221&lt;/item&gt;&lt;item&gt;222&lt;/item&gt;&lt;item&gt;223&lt;/item&gt;&lt;item&gt;224&lt;/item&gt;&lt;item&gt;225&lt;/item&gt;&lt;item&gt;227&lt;/item&gt;&lt;item&gt;234&lt;/item&gt;&lt;item&gt;235&lt;/item&gt;&lt;item&gt;236&lt;/item&gt;&lt;item&gt;237&lt;/item&gt;&lt;item&gt;243&lt;/item&gt;&lt;/record-ids&gt;&lt;/item&gt;&lt;/Libraries&gt;"/>
  </w:docVars>
  <w:rsids>
    <w:rsidRoot w:val="00B512BF"/>
    <w:rsid w:val="000046F2"/>
    <w:rsid w:val="00006147"/>
    <w:rsid w:val="00011609"/>
    <w:rsid w:val="000130A5"/>
    <w:rsid w:val="00014209"/>
    <w:rsid w:val="0001475B"/>
    <w:rsid w:val="000155FA"/>
    <w:rsid w:val="00016243"/>
    <w:rsid w:val="000169EB"/>
    <w:rsid w:val="00016BA1"/>
    <w:rsid w:val="00021042"/>
    <w:rsid w:val="00021276"/>
    <w:rsid w:val="00023978"/>
    <w:rsid w:val="00025E6A"/>
    <w:rsid w:val="00025E94"/>
    <w:rsid w:val="000263AF"/>
    <w:rsid w:val="00030B12"/>
    <w:rsid w:val="00030E32"/>
    <w:rsid w:val="00030FD1"/>
    <w:rsid w:val="000321CB"/>
    <w:rsid w:val="00032DAA"/>
    <w:rsid w:val="00034514"/>
    <w:rsid w:val="000365DB"/>
    <w:rsid w:val="00040097"/>
    <w:rsid w:val="0004021F"/>
    <w:rsid w:val="00040D0A"/>
    <w:rsid w:val="000419C6"/>
    <w:rsid w:val="00042024"/>
    <w:rsid w:val="0004423B"/>
    <w:rsid w:val="00046BE1"/>
    <w:rsid w:val="0004715F"/>
    <w:rsid w:val="00047C01"/>
    <w:rsid w:val="00052061"/>
    <w:rsid w:val="000538FB"/>
    <w:rsid w:val="00062662"/>
    <w:rsid w:val="0006338F"/>
    <w:rsid w:val="0006373C"/>
    <w:rsid w:val="0006510C"/>
    <w:rsid w:val="000665D8"/>
    <w:rsid w:val="00071FCE"/>
    <w:rsid w:val="00074555"/>
    <w:rsid w:val="000775D1"/>
    <w:rsid w:val="00080E23"/>
    <w:rsid w:val="000821BB"/>
    <w:rsid w:val="000838D7"/>
    <w:rsid w:val="00086931"/>
    <w:rsid w:val="00087214"/>
    <w:rsid w:val="00087D11"/>
    <w:rsid w:val="00090043"/>
    <w:rsid w:val="00090CEA"/>
    <w:rsid w:val="00091FC5"/>
    <w:rsid w:val="0009348D"/>
    <w:rsid w:val="00094411"/>
    <w:rsid w:val="000951DB"/>
    <w:rsid w:val="000A22F4"/>
    <w:rsid w:val="000A44D2"/>
    <w:rsid w:val="000A530E"/>
    <w:rsid w:val="000A6036"/>
    <w:rsid w:val="000B13D5"/>
    <w:rsid w:val="000B1AE6"/>
    <w:rsid w:val="000B364D"/>
    <w:rsid w:val="000B36BF"/>
    <w:rsid w:val="000B3A95"/>
    <w:rsid w:val="000B5A5B"/>
    <w:rsid w:val="000B6355"/>
    <w:rsid w:val="000B72E3"/>
    <w:rsid w:val="000B7FF6"/>
    <w:rsid w:val="000C0747"/>
    <w:rsid w:val="000C0C66"/>
    <w:rsid w:val="000C37DC"/>
    <w:rsid w:val="000C6729"/>
    <w:rsid w:val="000C761B"/>
    <w:rsid w:val="000D2F95"/>
    <w:rsid w:val="000D3008"/>
    <w:rsid w:val="000D314A"/>
    <w:rsid w:val="000D55FC"/>
    <w:rsid w:val="000D5D64"/>
    <w:rsid w:val="000D635B"/>
    <w:rsid w:val="000D6915"/>
    <w:rsid w:val="000E2E0D"/>
    <w:rsid w:val="000E2FD8"/>
    <w:rsid w:val="000F034E"/>
    <w:rsid w:val="000F3308"/>
    <w:rsid w:val="000F397F"/>
    <w:rsid w:val="000F4609"/>
    <w:rsid w:val="000F48A2"/>
    <w:rsid w:val="000F631B"/>
    <w:rsid w:val="000F72FA"/>
    <w:rsid w:val="00101245"/>
    <w:rsid w:val="0010371A"/>
    <w:rsid w:val="0010466C"/>
    <w:rsid w:val="00106F59"/>
    <w:rsid w:val="00106FB4"/>
    <w:rsid w:val="0010749C"/>
    <w:rsid w:val="00111EBA"/>
    <w:rsid w:val="00114627"/>
    <w:rsid w:val="0011620A"/>
    <w:rsid w:val="001202DA"/>
    <w:rsid w:val="00120EED"/>
    <w:rsid w:val="00121F10"/>
    <w:rsid w:val="00122912"/>
    <w:rsid w:val="00124AA3"/>
    <w:rsid w:val="00125781"/>
    <w:rsid w:val="0012656A"/>
    <w:rsid w:val="00135AA7"/>
    <w:rsid w:val="00135F82"/>
    <w:rsid w:val="001420E5"/>
    <w:rsid w:val="0014452C"/>
    <w:rsid w:val="0014455B"/>
    <w:rsid w:val="00145B75"/>
    <w:rsid w:val="001476AE"/>
    <w:rsid w:val="00151525"/>
    <w:rsid w:val="00151D97"/>
    <w:rsid w:val="0015209A"/>
    <w:rsid w:val="001520C9"/>
    <w:rsid w:val="001534F6"/>
    <w:rsid w:val="0015385F"/>
    <w:rsid w:val="00153923"/>
    <w:rsid w:val="00154504"/>
    <w:rsid w:val="0015470A"/>
    <w:rsid w:val="00154A2D"/>
    <w:rsid w:val="001553D6"/>
    <w:rsid w:val="00160B18"/>
    <w:rsid w:val="00161589"/>
    <w:rsid w:val="00161C2F"/>
    <w:rsid w:val="00166BD5"/>
    <w:rsid w:val="00167360"/>
    <w:rsid w:val="0016787C"/>
    <w:rsid w:val="00173C72"/>
    <w:rsid w:val="001823F6"/>
    <w:rsid w:val="00183B40"/>
    <w:rsid w:val="00186F08"/>
    <w:rsid w:val="00187FA3"/>
    <w:rsid w:val="00190546"/>
    <w:rsid w:val="00191DA3"/>
    <w:rsid w:val="001933B7"/>
    <w:rsid w:val="001966EC"/>
    <w:rsid w:val="00196FFF"/>
    <w:rsid w:val="001974DB"/>
    <w:rsid w:val="00197C72"/>
    <w:rsid w:val="001A27AC"/>
    <w:rsid w:val="001A39A4"/>
    <w:rsid w:val="001A4073"/>
    <w:rsid w:val="001B5D90"/>
    <w:rsid w:val="001B76CF"/>
    <w:rsid w:val="001C46BF"/>
    <w:rsid w:val="001C527A"/>
    <w:rsid w:val="001C6533"/>
    <w:rsid w:val="001D1136"/>
    <w:rsid w:val="001D1DC9"/>
    <w:rsid w:val="001D3CE4"/>
    <w:rsid w:val="001D47BD"/>
    <w:rsid w:val="001D7772"/>
    <w:rsid w:val="001D79CD"/>
    <w:rsid w:val="001E0A48"/>
    <w:rsid w:val="001E1766"/>
    <w:rsid w:val="001E37FB"/>
    <w:rsid w:val="001E4C2A"/>
    <w:rsid w:val="001E64B6"/>
    <w:rsid w:val="001E70D4"/>
    <w:rsid w:val="001F453B"/>
    <w:rsid w:val="001F5F35"/>
    <w:rsid w:val="001F7907"/>
    <w:rsid w:val="001F7C80"/>
    <w:rsid w:val="002010CE"/>
    <w:rsid w:val="00202DD5"/>
    <w:rsid w:val="00204095"/>
    <w:rsid w:val="00212A88"/>
    <w:rsid w:val="00214AB7"/>
    <w:rsid w:val="00215180"/>
    <w:rsid w:val="002209F0"/>
    <w:rsid w:val="00221B89"/>
    <w:rsid w:val="002300CC"/>
    <w:rsid w:val="00230893"/>
    <w:rsid w:val="0023163E"/>
    <w:rsid w:val="00232261"/>
    <w:rsid w:val="00232305"/>
    <w:rsid w:val="00235F91"/>
    <w:rsid w:val="0024117A"/>
    <w:rsid w:val="00241C47"/>
    <w:rsid w:val="002430C4"/>
    <w:rsid w:val="002436F8"/>
    <w:rsid w:val="0024465E"/>
    <w:rsid w:val="00245CE0"/>
    <w:rsid w:val="00245DB4"/>
    <w:rsid w:val="00245F27"/>
    <w:rsid w:val="00250DF5"/>
    <w:rsid w:val="00250E51"/>
    <w:rsid w:val="002512D6"/>
    <w:rsid w:val="00252A71"/>
    <w:rsid w:val="00255C0C"/>
    <w:rsid w:val="00257495"/>
    <w:rsid w:val="00262F74"/>
    <w:rsid w:val="00263922"/>
    <w:rsid w:val="00263AB4"/>
    <w:rsid w:val="00265B96"/>
    <w:rsid w:val="0027068C"/>
    <w:rsid w:val="002709F6"/>
    <w:rsid w:val="0027286D"/>
    <w:rsid w:val="002728D7"/>
    <w:rsid w:val="00273E08"/>
    <w:rsid w:val="00275D8E"/>
    <w:rsid w:val="0027651A"/>
    <w:rsid w:val="002818A0"/>
    <w:rsid w:val="00284A2E"/>
    <w:rsid w:val="00287484"/>
    <w:rsid w:val="0029021D"/>
    <w:rsid w:val="00291873"/>
    <w:rsid w:val="00293972"/>
    <w:rsid w:val="00295304"/>
    <w:rsid w:val="002958C6"/>
    <w:rsid w:val="00295E03"/>
    <w:rsid w:val="00296FB7"/>
    <w:rsid w:val="00297DD6"/>
    <w:rsid w:val="002A0200"/>
    <w:rsid w:val="002A0660"/>
    <w:rsid w:val="002A361E"/>
    <w:rsid w:val="002A3D5C"/>
    <w:rsid w:val="002A5B44"/>
    <w:rsid w:val="002A5E21"/>
    <w:rsid w:val="002B16D0"/>
    <w:rsid w:val="002B3FEB"/>
    <w:rsid w:val="002B4D79"/>
    <w:rsid w:val="002B6220"/>
    <w:rsid w:val="002C2B47"/>
    <w:rsid w:val="002C33DD"/>
    <w:rsid w:val="002C41D1"/>
    <w:rsid w:val="002C445D"/>
    <w:rsid w:val="002C4D06"/>
    <w:rsid w:val="002D19BB"/>
    <w:rsid w:val="002D1A3B"/>
    <w:rsid w:val="002D2A19"/>
    <w:rsid w:val="002D3D82"/>
    <w:rsid w:val="002D4384"/>
    <w:rsid w:val="002D4A13"/>
    <w:rsid w:val="002D6A52"/>
    <w:rsid w:val="002D75DD"/>
    <w:rsid w:val="002E0BB5"/>
    <w:rsid w:val="002E0E13"/>
    <w:rsid w:val="002E1C26"/>
    <w:rsid w:val="002E1CB4"/>
    <w:rsid w:val="002E4139"/>
    <w:rsid w:val="002E73C1"/>
    <w:rsid w:val="002F06E1"/>
    <w:rsid w:val="002F3F39"/>
    <w:rsid w:val="002F4CBF"/>
    <w:rsid w:val="002F6596"/>
    <w:rsid w:val="0030341C"/>
    <w:rsid w:val="0030502C"/>
    <w:rsid w:val="00307363"/>
    <w:rsid w:val="003073C2"/>
    <w:rsid w:val="00307A40"/>
    <w:rsid w:val="00315519"/>
    <w:rsid w:val="00315B7E"/>
    <w:rsid w:val="003160E3"/>
    <w:rsid w:val="00316695"/>
    <w:rsid w:val="00320DA9"/>
    <w:rsid w:val="00322598"/>
    <w:rsid w:val="00323327"/>
    <w:rsid w:val="003233EB"/>
    <w:rsid w:val="0032554B"/>
    <w:rsid w:val="0033090C"/>
    <w:rsid w:val="00333E13"/>
    <w:rsid w:val="00335FD2"/>
    <w:rsid w:val="0033610E"/>
    <w:rsid w:val="00343DB7"/>
    <w:rsid w:val="00344929"/>
    <w:rsid w:val="00344A19"/>
    <w:rsid w:val="003454EA"/>
    <w:rsid w:val="00345C23"/>
    <w:rsid w:val="00346150"/>
    <w:rsid w:val="00346165"/>
    <w:rsid w:val="00347725"/>
    <w:rsid w:val="00347B76"/>
    <w:rsid w:val="00350964"/>
    <w:rsid w:val="00351425"/>
    <w:rsid w:val="00353FB0"/>
    <w:rsid w:val="00354BC4"/>
    <w:rsid w:val="00355467"/>
    <w:rsid w:val="003575BF"/>
    <w:rsid w:val="003614A1"/>
    <w:rsid w:val="00362762"/>
    <w:rsid w:val="00362E09"/>
    <w:rsid w:val="0036313A"/>
    <w:rsid w:val="0036650B"/>
    <w:rsid w:val="00367AFE"/>
    <w:rsid w:val="00367EAA"/>
    <w:rsid w:val="00370D1F"/>
    <w:rsid w:val="00372AE4"/>
    <w:rsid w:val="003747B4"/>
    <w:rsid w:val="00375D2E"/>
    <w:rsid w:val="00381D45"/>
    <w:rsid w:val="003838EA"/>
    <w:rsid w:val="00383FF0"/>
    <w:rsid w:val="00385950"/>
    <w:rsid w:val="00386017"/>
    <w:rsid w:val="00386A6E"/>
    <w:rsid w:val="00392968"/>
    <w:rsid w:val="0039400B"/>
    <w:rsid w:val="0039505F"/>
    <w:rsid w:val="00395A2C"/>
    <w:rsid w:val="00395EEE"/>
    <w:rsid w:val="00396452"/>
    <w:rsid w:val="003969E1"/>
    <w:rsid w:val="00396E3F"/>
    <w:rsid w:val="00397729"/>
    <w:rsid w:val="003A1DA0"/>
    <w:rsid w:val="003A234B"/>
    <w:rsid w:val="003A30AD"/>
    <w:rsid w:val="003A4696"/>
    <w:rsid w:val="003A475D"/>
    <w:rsid w:val="003A588B"/>
    <w:rsid w:val="003C2A1B"/>
    <w:rsid w:val="003C35C8"/>
    <w:rsid w:val="003C69FF"/>
    <w:rsid w:val="003D0DC5"/>
    <w:rsid w:val="003D2EC6"/>
    <w:rsid w:val="003D6DCE"/>
    <w:rsid w:val="003E05AB"/>
    <w:rsid w:val="003E1ADD"/>
    <w:rsid w:val="003E2035"/>
    <w:rsid w:val="003E2C2F"/>
    <w:rsid w:val="003E52C2"/>
    <w:rsid w:val="003E65C3"/>
    <w:rsid w:val="003E6C85"/>
    <w:rsid w:val="003F2371"/>
    <w:rsid w:val="003F356C"/>
    <w:rsid w:val="003F4222"/>
    <w:rsid w:val="003F4943"/>
    <w:rsid w:val="0040236D"/>
    <w:rsid w:val="00402ED2"/>
    <w:rsid w:val="0040444F"/>
    <w:rsid w:val="0040614D"/>
    <w:rsid w:val="004068E9"/>
    <w:rsid w:val="004071C7"/>
    <w:rsid w:val="00407ECA"/>
    <w:rsid w:val="00417E2E"/>
    <w:rsid w:val="00417F42"/>
    <w:rsid w:val="00421A76"/>
    <w:rsid w:val="00423D55"/>
    <w:rsid w:val="00424AC5"/>
    <w:rsid w:val="00425911"/>
    <w:rsid w:val="0042791A"/>
    <w:rsid w:val="0043194C"/>
    <w:rsid w:val="0043217C"/>
    <w:rsid w:val="00435220"/>
    <w:rsid w:val="00435451"/>
    <w:rsid w:val="00442E67"/>
    <w:rsid w:val="00447AEE"/>
    <w:rsid w:val="0045236D"/>
    <w:rsid w:val="00453295"/>
    <w:rsid w:val="004565DA"/>
    <w:rsid w:val="00463D79"/>
    <w:rsid w:val="00465D86"/>
    <w:rsid w:val="00470BD7"/>
    <w:rsid w:val="004711EF"/>
    <w:rsid w:val="00473E44"/>
    <w:rsid w:val="0047549E"/>
    <w:rsid w:val="004758CB"/>
    <w:rsid w:val="00475C3F"/>
    <w:rsid w:val="00480E84"/>
    <w:rsid w:val="00484840"/>
    <w:rsid w:val="004848BE"/>
    <w:rsid w:val="00487423"/>
    <w:rsid w:val="004876C8"/>
    <w:rsid w:val="0048770A"/>
    <w:rsid w:val="00491F26"/>
    <w:rsid w:val="004A1F96"/>
    <w:rsid w:val="004A2086"/>
    <w:rsid w:val="004A5E3C"/>
    <w:rsid w:val="004A77C3"/>
    <w:rsid w:val="004B09B0"/>
    <w:rsid w:val="004B322F"/>
    <w:rsid w:val="004B4883"/>
    <w:rsid w:val="004B4950"/>
    <w:rsid w:val="004B5EC5"/>
    <w:rsid w:val="004B68AA"/>
    <w:rsid w:val="004C198F"/>
    <w:rsid w:val="004C22C8"/>
    <w:rsid w:val="004C3A52"/>
    <w:rsid w:val="004C4A12"/>
    <w:rsid w:val="004C4DE0"/>
    <w:rsid w:val="004C70FE"/>
    <w:rsid w:val="004D0D16"/>
    <w:rsid w:val="004D6055"/>
    <w:rsid w:val="004D6D85"/>
    <w:rsid w:val="004D73D4"/>
    <w:rsid w:val="004D7616"/>
    <w:rsid w:val="004E2F68"/>
    <w:rsid w:val="004E4D07"/>
    <w:rsid w:val="004E5CAF"/>
    <w:rsid w:val="004F1FC7"/>
    <w:rsid w:val="004F4217"/>
    <w:rsid w:val="004F428C"/>
    <w:rsid w:val="004F4CD8"/>
    <w:rsid w:val="004F6750"/>
    <w:rsid w:val="004F771E"/>
    <w:rsid w:val="00501350"/>
    <w:rsid w:val="0050196D"/>
    <w:rsid w:val="0050210E"/>
    <w:rsid w:val="00503138"/>
    <w:rsid w:val="00504B7E"/>
    <w:rsid w:val="00504EDD"/>
    <w:rsid w:val="00505457"/>
    <w:rsid w:val="00506B69"/>
    <w:rsid w:val="005123B8"/>
    <w:rsid w:val="0051443D"/>
    <w:rsid w:val="00515975"/>
    <w:rsid w:val="005208E9"/>
    <w:rsid w:val="00521A33"/>
    <w:rsid w:val="00525BDC"/>
    <w:rsid w:val="00527820"/>
    <w:rsid w:val="00530B7C"/>
    <w:rsid w:val="00532391"/>
    <w:rsid w:val="00532787"/>
    <w:rsid w:val="00533D8D"/>
    <w:rsid w:val="00535DA9"/>
    <w:rsid w:val="00541516"/>
    <w:rsid w:val="005415D1"/>
    <w:rsid w:val="0054205E"/>
    <w:rsid w:val="00544AED"/>
    <w:rsid w:val="00545288"/>
    <w:rsid w:val="00545DED"/>
    <w:rsid w:val="00552A60"/>
    <w:rsid w:val="005537A2"/>
    <w:rsid w:val="00553846"/>
    <w:rsid w:val="0055681B"/>
    <w:rsid w:val="005575B1"/>
    <w:rsid w:val="00560563"/>
    <w:rsid w:val="005615E9"/>
    <w:rsid w:val="005628BF"/>
    <w:rsid w:val="00562914"/>
    <w:rsid w:val="005668F6"/>
    <w:rsid w:val="005709B1"/>
    <w:rsid w:val="00571844"/>
    <w:rsid w:val="0057323A"/>
    <w:rsid w:val="00573471"/>
    <w:rsid w:val="00573B9B"/>
    <w:rsid w:val="005768C8"/>
    <w:rsid w:val="00577651"/>
    <w:rsid w:val="00577E8F"/>
    <w:rsid w:val="00583B1F"/>
    <w:rsid w:val="00584192"/>
    <w:rsid w:val="005841BA"/>
    <w:rsid w:val="00584921"/>
    <w:rsid w:val="00584A1C"/>
    <w:rsid w:val="00584EEA"/>
    <w:rsid w:val="005861D5"/>
    <w:rsid w:val="005878D4"/>
    <w:rsid w:val="00587B74"/>
    <w:rsid w:val="005907A2"/>
    <w:rsid w:val="005914D6"/>
    <w:rsid w:val="00593520"/>
    <w:rsid w:val="0059627B"/>
    <w:rsid w:val="00596EB5"/>
    <w:rsid w:val="005972F9"/>
    <w:rsid w:val="005A10C0"/>
    <w:rsid w:val="005A11A8"/>
    <w:rsid w:val="005A4B39"/>
    <w:rsid w:val="005A675C"/>
    <w:rsid w:val="005A6E01"/>
    <w:rsid w:val="005A74EB"/>
    <w:rsid w:val="005B066F"/>
    <w:rsid w:val="005B2D6B"/>
    <w:rsid w:val="005B2E4A"/>
    <w:rsid w:val="005B37F3"/>
    <w:rsid w:val="005B4811"/>
    <w:rsid w:val="005B4ACB"/>
    <w:rsid w:val="005B4E38"/>
    <w:rsid w:val="005B6676"/>
    <w:rsid w:val="005C2118"/>
    <w:rsid w:val="005C401F"/>
    <w:rsid w:val="005C7314"/>
    <w:rsid w:val="005C758F"/>
    <w:rsid w:val="005C77C8"/>
    <w:rsid w:val="005D2D10"/>
    <w:rsid w:val="005D40CE"/>
    <w:rsid w:val="005D4B24"/>
    <w:rsid w:val="005D4DEA"/>
    <w:rsid w:val="005D545F"/>
    <w:rsid w:val="005D611A"/>
    <w:rsid w:val="005D7A05"/>
    <w:rsid w:val="005D7D87"/>
    <w:rsid w:val="005E02EC"/>
    <w:rsid w:val="005E0BD6"/>
    <w:rsid w:val="005E0ECE"/>
    <w:rsid w:val="005E0FFA"/>
    <w:rsid w:val="005E2E5F"/>
    <w:rsid w:val="005E32D4"/>
    <w:rsid w:val="005E55A7"/>
    <w:rsid w:val="005E7A6E"/>
    <w:rsid w:val="005E7DF5"/>
    <w:rsid w:val="005F513E"/>
    <w:rsid w:val="005F566D"/>
    <w:rsid w:val="005F6393"/>
    <w:rsid w:val="005F71FF"/>
    <w:rsid w:val="00600834"/>
    <w:rsid w:val="00600CE6"/>
    <w:rsid w:val="00602DAC"/>
    <w:rsid w:val="00603638"/>
    <w:rsid w:val="00603D34"/>
    <w:rsid w:val="00604A9B"/>
    <w:rsid w:val="006062B3"/>
    <w:rsid w:val="00606F6C"/>
    <w:rsid w:val="00607ACB"/>
    <w:rsid w:val="00607E56"/>
    <w:rsid w:val="00613D3B"/>
    <w:rsid w:val="006149E3"/>
    <w:rsid w:val="00614BB3"/>
    <w:rsid w:val="00616430"/>
    <w:rsid w:val="006167EF"/>
    <w:rsid w:val="00617A4C"/>
    <w:rsid w:val="00617D2A"/>
    <w:rsid w:val="00621808"/>
    <w:rsid w:val="00622122"/>
    <w:rsid w:val="00626991"/>
    <w:rsid w:val="00626FBC"/>
    <w:rsid w:val="00630817"/>
    <w:rsid w:val="00632A4D"/>
    <w:rsid w:val="00632CC3"/>
    <w:rsid w:val="00635903"/>
    <w:rsid w:val="00635D60"/>
    <w:rsid w:val="00637725"/>
    <w:rsid w:val="00640EA9"/>
    <w:rsid w:val="00643D8D"/>
    <w:rsid w:val="00644399"/>
    <w:rsid w:val="006465DB"/>
    <w:rsid w:val="006509A8"/>
    <w:rsid w:val="00656459"/>
    <w:rsid w:val="00660B90"/>
    <w:rsid w:val="00660D34"/>
    <w:rsid w:val="006621F1"/>
    <w:rsid w:val="00663C29"/>
    <w:rsid w:val="00664067"/>
    <w:rsid w:val="00665019"/>
    <w:rsid w:val="00665AF5"/>
    <w:rsid w:val="00670913"/>
    <w:rsid w:val="00670BEE"/>
    <w:rsid w:val="006729E4"/>
    <w:rsid w:val="0067324A"/>
    <w:rsid w:val="00673B98"/>
    <w:rsid w:val="006744C9"/>
    <w:rsid w:val="00676540"/>
    <w:rsid w:val="006766AC"/>
    <w:rsid w:val="00677CDD"/>
    <w:rsid w:val="00680D4C"/>
    <w:rsid w:val="00686D6B"/>
    <w:rsid w:val="00687835"/>
    <w:rsid w:val="00690902"/>
    <w:rsid w:val="00691033"/>
    <w:rsid w:val="006910D9"/>
    <w:rsid w:val="006916E1"/>
    <w:rsid w:val="006926BC"/>
    <w:rsid w:val="00694AC2"/>
    <w:rsid w:val="006950D1"/>
    <w:rsid w:val="00697865"/>
    <w:rsid w:val="006A01A8"/>
    <w:rsid w:val="006A0B4F"/>
    <w:rsid w:val="006A10E4"/>
    <w:rsid w:val="006A4401"/>
    <w:rsid w:val="006A57FD"/>
    <w:rsid w:val="006A5846"/>
    <w:rsid w:val="006A65D7"/>
    <w:rsid w:val="006A7412"/>
    <w:rsid w:val="006A792C"/>
    <w:rsid w:val="006A7D78"/>
    <w:rsid w:val="006B0A5C"/>
    <w:rsid w:val="006B101F"/>
    <w:rsid w:val="006B2ECB"/>
    <w:rsid w:val="006B46EC"/>
    <w:rsid w:val="006B5CF1"/>
    <w:rsid w:val="006B6569"/>
    <w:rsid w:val="006C0164"/>
    <w:rsid w:val="006C02EB"/>
    <w:rsid w:val="006C18B3"/>
    <w:rsid w:val="006C2D3C"/>
    <w:rsid w:val="006C5606"/>
    <w:rsid w:val="006C620B"/>
    <w:rsid w:val="006C7052"/>
    <w:rsid w:val="006C784C"/>
    <w:rsid w:val="006C78DE"/>
    <w:rsid w:val="006D056A"/>
    <w:rsid w:val="006D0600"/>
    <w:rsid w:val="006D237B"/>
    <w:rsid w:val="006D2F1B"/>
    <w:rsid w:val="006D5130"/>
    <w:rsid w:val="006D5606"/>
    <w:rsid w:val="006E0CBA"/>
    <w:rsid w:val="006E1943"/>
    <w:rsid w:val="006E46B7"/>
    <w:rsid w:val="006E472E"/>
    <w:rsid w:val="006E4C8B"/>
    <w:rsid w:val="006E6276"/>
    <w:rsid w:val="006E7BB3"/>
    <w:rsid w:val="006F0A63"/>
    <w:rsid w:val="006F229F"/>
    <w:rsid w:val="006F6EE9"/>
    <w:rsid w:val="006F7A98"/>
    <w:rsid w:val="00701EBE"/>
    <w:rsid w:val="00702160"/>
    <w:rsid w:val="007027D1"/>
    <w:rsid w:val="007032F0"/>
    <w:rsid w:val="007036AF"/>
    <w:rsid w:val="00704247"/>
    <w:rsid w:val="00705658"/>
    <w:rsid w:val="007115DF"/>
    <w:rsid w:val="0071509E"/>
    <w:rsid w:val="007153DB"/>
    <w:rsid w:val="00720ADB"/>
    <w:rsid w:val="00720E3B"/>
    <w:rsid w:val="00723F21"/>
    <w:rsid w:val="007252F9"/>
    <w:rsid w:val="007313F5"/>
    <w:rsid w:val="00731E9F"/>
    <w:rsid w:val="00736E04"/>
    <w:rsid w:val="00737DBC"/>
    <w:rsid w:val="007409B0"/>
    <w:rsid w:val="00741386"/>
    <w:rsid w:val="00741E87"/>
    <w:rsid w:val="00742CD8"/>
    <w:rsid w:val="00746239"/>
    <w:rsid w:val="00746979"/>
    <w:rsid w:val="0074783F"/>
    <w:rsid w:val="0075087A"/>
    <w:rsid w:val="00750C43"/>
    <w:rsid w:val="00750D93"/>
    <w:rsid w:val="00752830"/>
    <w:rsid w:val="007535E3"/>
    <w:rsid w:val="00757B38"/>
    <w:rsid w:val="007634B6"/>
    <w:rsid w:val="00766DDA"/>
    <w:rsid w:val="00770E43"/>
    <w:rsid w:val="00776B16"/>
    <w:rsid w:val="00776B17"/>
    <w:rsid w:val="00776C63"/>
    <w:rsid w:val="00777AE5"/>
    <w:rsid w:val="00777CC1"/>
    <w:rsid w:val="007805E2"/>
    <w:rsid w:val="0078443E"/>
    <w:rsid w:val="00784D62"/>
    <w:rsid w:val="00787DB9"/>
    <w:rsid w:val="00790A85"/>
    <w:rsid w:val="0079259C"/>
    <w:rsid w:val="00793C56"/>
    <w:rsid w:val="00793E8F"/>
    <w:rsid w:val="00795021"/>
    <w:rsid w:val="00795CB7"/>
    <w:rsid w:val="007960EF"/>
    <w:rsid w:val="00796DD1"/>
    <w:rsid w:val="00797C37"/>
    <w:rsid w:val="007A146D"/>
    <w:rsid w:val="007A1F95"/>
    <w:rsid w:val="007A2AE1"/>
    <w:rsid w:val="007A3FCF"/>
    <w:rsid w:val="007A5AAB"/>
    <w:rsid w:val="007A7373"/>
    <w:rsid w:val="007B171F"/>
    <w:rsid w:val="007B2BFE"/>
    <w:rsid w:val="007B32EA"/>
    <w:rsid w:val="007B57B3"/>
    <w:rsid w:val="007B7D81"/>
    <w:rsid w:val="007B7E3F"/>
    <w:rsid w:val="007C077C"/>
    <w:rsid w:val="007C288A"/>
    <w:rsid w:val="007C403F"/>
    <w:rsid w:val="007C604E"/>
    <w:rsid w:val="007C6468"/>
    <w:rsid w:val="007C7E78"/>
    <w:rsid w:val="007D03F7"/>
    <w:rsid w:val="007D074C"/>
    <w:rsid w:val="007D18C8"/>
    <w:rsid w:val="007D2162"/>
    <w:rsid w:val="007D533A"/>
    <w:rsid w:val="007D5719"/>
    <w:rsid w:val="007D6CE2"/>
    <w:rsid w:val="007E2847"/>
    <w:rsid w:val="007E55C5"/>
    <w:rsid w:val="007E5759"/>
    <w:rsid w:val="007E71D7"/>
    <w:rsid w:val="007E77CA"/>
    <w:rsid w:val="007F19CB"/>
    <w:rsid w:val="007F3E49"/>
    <w:rsid w:val="007F62F5"/>
    <w:rsid w:val="007F6719"/>
    <w:rsid w:val="00803542"/>
    <w:rsid w:val="00803D02"/>
    <w:rsid w:val="0080562F"/>
    <w:rsid w:val="008070D9"/>
    <w:rsid w:val="00807179"/>
    <w:rsid w:val="00810D31"/>
    <w:rsid w:val="00813DA3"/>
    <w:rsid w:val="00814C4B"/>
    <w:rsid w:val="00817DC0"/>
    <w:rsid w:val="008227FB"/>
    <w:rsid w:val="00822C81"/>
    <w:rsid w:val="008237B5"/>
    <w:rsid w:val="00824472"/>
    <w:rsid w:val="00824F31"/>
    <w:rsid w:val="00826099"/>
    <w:rsid w:val="00827D02"/>
    <w:rsid w:val="00831615"/>
    <w:rsid w:val="00833FE6"/>
    <w:rsid w:val="008351E1"/>
    <w:rsid w:val="0083563C"/>
    <w:rsid w:val="00835723"/>
    <w:rsid w:val="00850B26"/>
    <w:rsid w:val="0085160C"/>
    <w:rsid w:val="00854A3D"/>
    <w:rsid w:val="00854F68"/>
    <w:rsid w:val="00855688"/>
    <w:rsid w:val="00857941"/>
    <w:rsid w:val="00860373"/>
    <w:rsid w:val="0086141E"/>
    <w:rsid w:val="00863769"/>
    <w:rsid w:val="008639C3"/>
    <w:rsid w:val="00864237"/>
    <w:rsid w:val="00867078"/>
    <w:rsid w:val="00867325"/>
    <w:rsid w:val="008674B2"/>
    <w:rsid w:val="00867566"/>
    <w:rsid w:val="008703A2"/>
    <w:rsid w:val="00870BF8"/>
    <w:rsid w:val="008712AD"/>
    <w:rsid w:val="00871AD2"/>
    <w:rsid w:val="00874BAC"/>
    <w:rsid w:val="00885E0F"/>
    <w:rsid w:val="008874E7"/>
    <w:rsid w:val="00887FA1"/>
    <w:rsid w:val="00890BBC"/>
    <w:rsid w:val="008956ED"/>
    <w:rsid w:val="00895DF4"/>
    <w:rsid w:val="008A0E79"/>
    <w:rsid w:val="008A15F9"/>
    <w:rsid w:val="008A1DE9"/>
    <w:rsid w:val="008A294C"/>
    <w:rsid w:val="008A54F7"/>
    <w:rsid w:val="008A72EC"/>
    <w:rsid w:val="008B0D89"/>
    <w:rsid w:val="008B28BF"/>
    <w:rsid w:val="008B5693"/>
    <w:rsid w:val="008B6A9E"/>
    <w:rsid w:val="008C0B89"/>
    <w:rsid w:val="008C11E0"/>
    <w:rsid w:val="008C4AA7"/>
    <w:rsid w:val="008C5A2A"/>
    <w:rsid w:val="008C654A"/>
    <w:rsid w:val="008C7297"/>
    <w:rsid w:val="008D0443"/>
    <w:rsid w:val="008D3541"/>
    <w:rsid w:val="008E0B0A"/>
    <w:rsid w:val="008E0DA4"/>
    <w:rsid w:val="008E11DF"/>
    <w:rsid w:val="008E16F5"/>
    <w:rsid w:val="008E2752"/>
    <w:rsid w:val="008E619D"/>
    <w:rsid w:val="008E6952"/>
    <w:rsid w:val="008E7B98"/>
    <w:rsid w:val="008F5387"/>
    <w:rsid w:val="008F5506"/>
    <w:rsid w:val="008F628A"/>
    <w:rsid w:val="008F674B"/>
    <w:rsid w:val="008F69C9"/>
    <w:rsid w:val="00901A0B"/>
    <w:rsid w:val="00901CFB"/>
    <w:rsid w:val="00910906"/>
    <w:rsid w:val="00910B97"/>
    <w:rsid w:val="0091554A"/>
    <w:rsid w:val="00916062"/>
    <w:rsid w:val="00917071"/>
    <w:rsid w:val="00923B28"/>
    <w:rsid w:val="00924EC3"/>
    <w:rsid w:val="009258C1"/>
    <w:rsid w:val="00930BB9"/>
    <w:rsid w:val="00931F93"/>
    <w:rsid w:val="00933F40"/>
    <w:rsid w:val="00934E00"/>
    <w:rsid w:val="00940204"/>
    <w:rsid w:val="009438D1"/>
    <w:rsid w:val="00943A2D"/>
    <w:rsid w:val="009460C4"/>
    <w:rsid w:val="00947A0D"/>
    <w:rsid w:val="00950D3A"/>
    <w:rsid w:val="0095124A"/>
    <w:rsid w:val="0095251C"/>
    <w:rsid w:val="00957378"/>
    <w:rsid w:val="00960004"/>
    <w:rsid w:val="00960D93"/>
    <w:rsid w:val="00961667"/>
    <w:rsid w:val="0096315A"/>
    <w:rsid w:val="00966414"/>
    <w:rsid w:val="0096768D"/>
    <w:rsid w:val="0096789A"/>
    <w:rsid w:val="009701DB"/>
    <w:rsid w:val="0097204C"/>
    <w:rsid w:val="00974E28"/>
    <w:rsid w:val="00974F15"/>
    <w:rsid w:val="0097656A"/>
    <w:rsid w:val="00976ED4"/>
    <w:rsid w:val="00977C25"/>
    <w:rsid w:val="00981D49"/>
    <w:rsid w:val="00983454"/>
    <w:rsid w:val="009838C8"/>
    <w:rsid w:val="00984E25"/>
    <w:rsid w:val="0098574A"/>
    <w:rsid w:val="009857B8"/>
    <w:rsid w:val="00986685"/>
    <w:rsid w:val="00990DBA"/>
    <w:rsid w:val="00994558"/>
    <w:rsid w:val="00995133"/>
    <w:rsid w:val="00997BC3"/>
    <w:rsid w:val="009A2767"/>
    <w:rsid w:val="009A42D4"/>
    <w:rsid w:val="009A6219"/>
    <w:rsid w:val="009B3345"/>
    <w:rsid w:val="009B554C"/>
    <w:rsid w:val="009B5A03"/>
    <w:rsid w:val="009B5C50"/>
    <w:rsid w:val="009B63D9"/>
    <w:rsid w:val="009B7A6E"/>
    <w:rsid w:val="009C0C10"/>
    <w:rsid w:val="009C138B"/>
    <w:rsid w:val="009C1745"/>
    <w:rsid w:val="009C33A8"/>
    <w:rsid w:val="009C4C0E"/>
    <w:rsid w:val="009C5D71"/>
    <w:rsid w:val="009C66E2"/>
    <w:rsid w:val="009D315F"/>
    <w:rsid w:val="009D3F97"/>
    <w:rsid w:val="009D46BC"/>
    <w:rsid w:val="009D5380"/>
    <w:rsid w:val="009D562F"/>
    <w:rsid w:val="009E18FA"/>
    <w:rsid w:val="009E2965"/>
    <w:rsid w:val="009E5BE4"/>
    <w:rsid w:val="009E7DB3"/>
    <w:rsid w:val="009F19C4"/>
    <w:rsid w:val="009F339F"/>
    <w:rsid w:val="009F538E"/>
    <w:rsid w:val="009F69B3"/>
    <w:rsid w:val="009F75E9"/>
    <w:rsid w:val="00A009AB"/>
    <w:rsid w:val="00A00CAC"/>
    <w:rsid w:val="00A011CA"/>
    <w:rsid w:val="00A01925"/>
    <w:rsid w:val="00A030E6"/>
    <w:rsid w:val="00A0359A"/>
    <w:rsid w:val="00A05DED"/>
    <w:rsid w:val="00A0608E"/>
    <w:rsid w:val="00A06685"/>
    <w:rsid w:val="00A1150A"/>
    <w:rsid w:val="00A11D87"/>
    <w:rsid w:val="00A1425B"/>
    <w:rsid w:val="00A1453C"/>
    <w:rsid w:val="00A14F73"/>
    <w:rsid w:val="00A2466E"/>
    <w:rsid w:val="00A26968"/>
    <w:rsid w:val="00A26E38"/>
    <w:rsid w:val="00A26F92"/>
    <w:rsid w:val="00A30D43"/>
    <w:rsid w:val="00A34423"/>
    <w:rsid w:val="00A369F9"/>
    <w:rsid w:val="00A447AF"/>
    <w:rsid w:val="00A45EF5"/>
    <w:rsid w:val="00A4631D"/>
    <w:rsid w:val="00A52568"/>
    <w:rsid w:val="00A57799"/>
    <w:rsid w:val="00A60625"/>
    <w:rsid w:val="00A61293"/>
    <w:rsid w:val="00A64111"/>
    <w:rsid w:val="00A660FD"/>
    <w:rsid w:val="00A67875"/>
    <w:rsid w:val="00A70AEC"/>
    <w:rsid w:val="00A70BE8"/>
    <w:rsid w:val="00A7138C"/>
    <w:rsid w:val="00A73713"/>
    <w:rsid w:val="00A74964"/>
    <w:rsid w:val="00A75B4C"/>
    <w:rsid w:val="00A76192"/>
    <w:rsid w:val="00A774D0"/>
    <w:rsid w:val="00A811EB"/>
    <w:rsid w:val="00A84A6B"/>
    <w:rsid w:val="00A86385"/>
    <w:rsid w:val="00A86E66"/>
    <w:rsid w:val="00A9319F"/>
    <w:rsid w:val="00A938BB"/>
    <w:rsid w:val="00A94D19"/>
    <w:rsid w:val="00A959FE"/>
    <w:rsid w:val="00AA3465"/>
    <w:rsid w:val="00AA42D2"/>
    <w:rsid w:val="00AA4455"/>
    <w:rsid w:val="00AA67D8"/>
    <w:rsid w:val="00AA7DE0"/>
    <w:rsid w:val="00AB180D"/>
    <w:rsid w:val="00AB1905"/>
    <w:rsid w:val="00AB2B90"/>
    <w:rsid w:val="00AB7C20"/>
    <w:rsid w:val="00AC2005"/>
    <w:rsid w:val="00AC3905"/>
    <w:rsid w:val="00AC6D45"/>
    <w:rsid w:val="00AC703E"/>
    <w:rsid w:val="00AD009C"/>
    <w:rsid w:val="00AD33D0"/>
    <w:rsid w:val="00AD3C96"/>
    <w:rsid w:val="00AD3E6A"/>
    <w:rsid w:val="00AD40BA"/>
    <w:rsid w:val="00AD48A7"/>
    <w:rsid w:val="00AD4A8A"/>
    <w:rsid w:val="00AD5812"/>
    <w:rsid w:val="00AD6D0F"/>
    <w:rsid w:val="00AD6DD9"/>
    <w:rsid w:val="00AD77C4"/>
    <w:rsid w:val="00AE3EDF"/>
    <w:rsid w:val="00AE5439"/>
    <w:rsid w:val="00AE73A2"/>
    <w:rsid w:val="00AE7532"/>
    <w:rsid w:val="00AF1BE9"/>
    <w:rsid w:val="00AF39CF"/>
    <w:rsid w:val="00AF3A22"/>
    <w:rsid w:val="00AF5848"/>
    <w:rsid w:val="00B0078F"/>
    <w:rsid w:val="00B03451"/>
    <w:rsid w:val="00B03D1F"/>
    <w:rsid w:val="00B045F4"/>
    <w:rsid w:val="00B1599E"/>
    <w:rsid w:val="00B16465"/>
    <w:rsid w:val="00B16B4B"/>
    <w:rsid w:val="00B17225"/>
    <w:rsid w:val="00B178AA"/>
    <w:rsid w:val="00B22F52"/>
    <w:rsid w:val="00B23D3B"/>
    <w:rsid w:val="00B26ED3"/>
    <w:rsid w:val="00B26FA3"/>
    <w:rsid w:val="00B2744F"/>
    <w:rsid w:val="00B3121E"/>
    <w:rsid w:val="00B326DD"/>
    <w:rsid w:val="00B32C55"/>
    <w:rsid w:val="00B32F7E"/>
    <w:rsid w:val="00B3392E"/>
    <w:rsid w:val="00B3439C"/>
    <w:rsid w:val="00B362DC"/>
    <w:rsid w:val="00B36F8F"/>
    <w:rsid w:val="00B37A33"/>
    <w:rsid w:val="00B37F5A"/>
    <w:rsid w:val="00B4012A"/>
    <w:rsid w:val="00B4163B"/>
    <w:rsid w:val="00B41E19"/>
    <w:rsid w:val="00B4543C"/>
    <w:rsid w:val="00B509E7"/>
    <w:rsid w:val="00B512BF"/>
    <w:rsid w:val="00B5546D"/>
    <w:rsid w:val="00B56362"/>
    <w:rsid w:val="00B5681F"/>
    <w:rsid w:val="00B57F6C"/>
    <w:rsid w:val="00B607D1"/>
    <w:rsid w:val="00B6245B"/>
    <w:rsid w:val="00B656A4"/>
    <w:rsid w:val="00B66378"/>
    <w:rsid w:val="00B6727D"/>
    <w:rsid w:val="00B718A7"/>
    <w:rsid w:val="00B73E96"/>
    <w:rsid w:val="00B7651A"/>
    <w:rsid w:val="00B779B3"/>
    <w:rsid w:val="00B8200A"/>
    <w:rsid w:val="00B83D6E"/>
    <w:rsid w:val="00B85931"/>
    <w:rsid w:val="00B92EF1"/>
    <w:rsid w:val="00B937FC"/>
    <w:rsid w:val="00B95E87"/>
    <w:rsid w:val="00B964D8"/>
    <w:rsid w:val="00B96728"/>
    <w:rsid w:val="00B97485"/>
    <w:rsid w:val="00B9796E"/>
    <w:rsid w:val="00B97FE1"/>
    <w:rsid w:val="00BA106C"/>
    <w:rsid w:val="00BA11AD"/>
    <w:rsid w:val="00BA1BB4"/>
    <w:rsid w:val="00BA3CF3"/>
    <w:rsid w:val="00BA5E47"/>
    <w:rsid w:val="00BB27AA"/>
    <w:rsid w:val="00BB3707"/>
    <w:rsid w:val="00BB45A0"/>
    <w:rsid w:val="00BB6BAA"/>
    <w:rsid w:val="00BB6C53"/>
    <w:rsid w:val="00BC0CA0"/>
    <w:rsid w:val="00BC38B4"/>
    <w:rsid w:val="00BC7F1B"/>
    <w:rsid w:val="00BD069B"/>
    <w:rsid w:val="00BD0AD9"/>
    <w:rsid w:val="00BD4074"/>
    <w:rsid w:val="00BD4BB5"/>
    <w:rsid w:val="00BD54DA"/>
    <w:rsid w:val="00BD584C"/>
    <w:rsid w:val="00BD6473"/>
    <w:rsid w:val="00BE03D1"/>
    <w:rsid w:val="00BE35AF"/>
    <w:rsid w:val="00BF08F4"/>
    <w:rsid w:val="00BF0BEF"/>
    <w:rsid w:val="00BF1F90"/>
    <w:rsid w:val="00BF3B6F"/>
    <w:rsid w:val="00BF65F9"/>
    <w:rsid w:val="00BF6691"/>
    <w:rsid w:val="00BF6E0E"/>
    <w:rsid w:val="00BF7567"/>
    <w:rsid w:val="00C00A6F"/>
    <w:rsid w:val="00C01F10"/>
    <w:rsid w:val="00C025ED"/>
    <w:rsid w:val="00C07726"/>
    <w:rsid w:val="00C13F9A"/>
    <w:rsid w:val="00C1477F"/>
    <w:rsid w:val="00C17E39"/>
    <w:rsid w:val="00C24736"/>
    <w:rsid w:val="00C26C1A"/>
    <w:rsid w:val="00C26D31"/>
    <w:rsid w:val="00C321DA"/>
    <w:rsid w:val="00C33516"/>
    <w:rsid w:val="00C347C6"/>
    <w:rsid w:val="00C3594C"/>
    <w:rsid w:val="00C35952"/>
    <w:rsid w:val="00C3609F"/>
    <w:rsid w:val="00C36452"/>
    <w:rsid w:val="00C36FB7"/>
    <w:rsid w:val="00C40237"/>
    <w:rsid w:val="00C4197A"/>
    <w:rsid w:val="00C42215"/>
    <w:rsid w:val="00C460A5"/>
    <w:rsid w:val="00C47C40"/>
    <w:rsid w:val="00C50131"/>
    <w:rsid w:val="00C504FA"/>
    <w:rsid w:val="00C51A47"/>
    <w:rsid w:val="00C54783"/>
    <w:rsid w:val="00C54857"/>
    <w:rsid w:val="00C57DC7"/>
    <w:rsid w:val="00C6010C"/>
    <w:rsid w:val="00C61EC3"/>
    <w:rsid w:val="00C63BC7"/>
    <w:rsid w:val="00C641B9"/>
    <w:rsid w:val="00C64203"/>
    <w:rsid w:val="00C649F0"/>
    <w:rsid w:val="00C67C37"/>
    <w:rsid w:val="00C7162B"/>
    <w:rsid w:val="00C718F8"/>
    <w:rsid w:val="00C74B51"/>
    <w:rsid w:val="00C74CDA"/>
    <w:rsid w:val="00C75605"/>
    <w:rsid w:val="00C84B09"/>
    <w:rsid w:val="00C8544A"/>
    <w:rsid w:val="00C905D4"/>
    <w:rsid w:val="00C906EC"/>
    <w:rsid w:val="00C91915"/>
    <w:rsid w:val="00C929B0"/>
    <w:rsid w:val="00C939FC"/>
    <w:rsid w:val="00C95A90"/>
    <w:rsid w:val="00CA0484"/>
    <w:rsid w:val="00CA438E"/>
    <w:rsid w:val="00CA4532"/>
    <w:rsid w:val="00CA5F0A"/>
    <w:rsid w:val="00CA6A1D"/>
    <w:rsid w:val="00CA6C6A"/>
    <w:rsid w:val="00CB02F1"/>
    <w:rsid w:val="00CB0405"/>
    <w:rsid w:val="00CB04BC"/>
    <w:rsid w:val="00CB07DE"/>
    <w:rsid w:val="00CB17C0"/>
    <w:rsid w:val="00CB2F65"/>
    <w:rsid w:val="00CB3BE2"/>
    <w:rsid w:val="00CB475A"/>
    <w:rsid w:val="00CC124F"/>
    <w:rsid w:val="00CC2000"/>
    <w:rsid w:val="00CC21A1"/>
    <w:rsid w:val="00CC2448"/>
    <w:rsid w:val="00CC33F1"/>
    <w:rsid w:val="00CC3527"/>
    <w:rsid w:val="00CC3B5D"/>
    <w:rsid w:val="00CC3D2A"/>
    <w:rsid w:val="00CC50F1"/>
    <w:rsid w:val="00CC69E2"/>
    <w:rsid w:val="00CD1609"/>
    <w:rsid w:val="00CD27F2"/>
    <w:rsid w:val="00CD497D"/>
    <w:rsid w:val="00CD49C8"/>
    <w:rsid w:val="00CD4A62"/>
    <w:rsid w:val="00CD52A9"/>
    <w:rsid w:val="00CD5C35"/>
    <w:rsid w:val="00CD6859"/>
    <w:rsid w:val="00CD6F40"/>
    <w:rsid w:val="00CE09E1"/>
    <w:rsid w:val="00CE306C"/>
    <w:rsid w:val="00CE3B31"/>
    <w:rsid w:val="00CE402C"/>
    <w:rsid w:val="00CE47A4"/>
    <w:rsid w:val="00CE4BA4"/>
    <w:rsid w:val="00CE78CD"/>
    <w:rsid w:val="00CF3989"/>
    <w:rsid w:val="00CF3EE8"/>
    <w:rsid w:val="00CF4236"/>
    <w:rsid w:val="00CF5988"/>
    <w:rsid w:val="00D001E3"/>
    <w:rsid w:val="00D00638"/>
    <w:rsid w:val="00D00D8C"/>
    <w:rsid w:val="00D0147C"/>
    <w:rsid w:val="00D0227C"/>
    <w:rsid w:val="00D0253C"/>
    <w:rsid w:val="00D02F75"/>
    <w:rsid w:val="00D05256"/>
    <w:rsid w:val="00D115E8"/>
    <w:rsid w:val="00D13822"/>
    <w:rsid w:val="00D13B41"/>
    <w:rsid w:val="00D13D56"/>
    <w:rsid w:val="00D16228"/>
    <w:rsid w:val="00D16A80"/>
    <w:rsid w:val="00D17945"/>
    <w:rsid w:val="00D17D3C"/>
    <w:rsid w:val="00D23387"/>
    <w:rsid w:val="00D25BE6"/>
    <w:rsid w:val="00D31A82"/>
    <w:rsid w:val="00D330CC"/>
    <w:rsid w:val="00D33AEF"/>
    <w:rsid w:val="00D3590C"/>
    <w:rsid w:val="00D41665"/>
    <w:rsid w:val="00D42007"/>
    <w:rsid w:val="00D436F4"/>
    <w:rsid w:val="00D44F3A"/>
    <w:rsid w:val="00D45AD9"/>
    <w:rsid w:val="00D46D56"/>
    <w:rsid w:val="00D502E5"/>
    <w:rsid w:val="00D6003F"/>
    <w:rsid w:val="00D60508"/>
    <w:rsid w:val="00D63803"/>
    <w:rsid w:val="00D6407B"/>
    <w:rsid w:val="00D703BA"/>
    <w:rsid w:val="00D7055B"/>
    <w:rsid w:val="00D72522"/>
    <w:rsid w:val="00D745AB"/>
    <w:rsid w:val="00D75669"/>
    <w:rsid w:val="00D825C1"/>
    <w:rsid w:val="00D83611"/>
    <w:rsid w:val="00D85D42"/>
    <w:rsid w:val="00D91F17"/>
    <w:rsid w:val="00D92659"/>
    <w:rsid w:val="00D943E7"/>
    <w:rsid w:val="00D958CF"/>
    <w:rsid w:val="00DA2BC0"/>
    <w:rsid w:val="00DA396C"/>
    <w:rsid w:val="00DA4DAF"/>
    <w:rsid w:val="00DA5C23"/>
    <w:rsid w:val="00DB02EF"/>
    <w:rsid w:val="00DB4262"/>
    <w:rsid w:val="00DC0CFC"/>
    <w:rsid w:val="00DC1245"/>
    <w:rsid w:val="00DC2682"/>
    <w:rsid w:val="00DC3130"/>
    <w:rsid w:val="00DC46D3"/>
    <w:rsid w:val="00DC4C01"/>
    <w:rsid w:val="00DC51F1"/>
    <w:rsid w:val="00DC5373"/>
    <w:rsid w:val="00DD20DA"/>
    <w:rsid w:val="00DD7C69"/>
    <w:rsid w:val="00DE1BC1"/>
    <w:rsid w:val="00DE2AC0"/>
    <w:rsid w:val="00DE2B75"/>
    <w:rsid w:val="00DF079A"/>
    <w:rsid w:val="00DF12E6"/>
    <w:rsid w:val="00DF564B"/>
    <w:rsid w:val="00DF6F30"/>
    <w:rsid w:val="00DF76F0"/>
    <w:rsid w:val="00DF7FD7"/>
    <w:rsid w:val="00E0593F"/>
    <w:rsid w:val="00E138C4"/>
    <w:rsid w:val="00E15A51"/>
    <w:rsid w:val="00E15ACE"/>
    <w:rsid w:val="00E15EA6"/>
    <w:rsid w:val="00E17611"/>
    <w:rsid w:val="00E2172C"/>
    <w:rsid w:val="00E23C91"/>
    <w:rsid w:val="00E260CB"/>
    <w:rsid w:val="00E27513"/>
    <w:rsid w:val="00E275B6"/>
    <w:rsid w:val="00E2798F"/>
    <w:rsid w:val="00E30E80"/>
    <w:rsid w:val="00E311D4"/>
    <w:rsid w:val="00E321F1"/>
    <w:rsid w:val="00E33D8E"/>
    <w:rsid w:val="00E369B8"/>
    <w:rsid w:val="00E4105C"/>
    <w:rsid w:val="00E43227"/>
    <w:rsid w:val="00E43A11"/>
    <w:rsid w:val="00E46CA4"/>
    <w:rsid w:val="00E46CCF"/>
    <w:rsid w:val="00E4789C"/>
    <w:rsid w:val="00E504C7"/>
    <w:rsid w:val="00E51279"/>
    <w:rsid w:val="00E52237"/>
    <w:rsid w:val="00E52E3F"/>
    <w:rsid w:val="00E54FD6"/>
    <w:rsid w:val="00E551D3"/>
    <w:rsid w:val="00E56D04"/>
    <w:rsid w:val="00E600C1"/>
    <w:rsid w:val="00E60559"/>
    <w:rsid w:val="00E61B9B"/>
    <w:rsid w:val="00E62093"/>
    <w:rsid w:val="00E62C39"/>
    <w:rsid w:val="00E636FA"/>
    <w:rsid w:val="00E6372B"/>
    <w:rsid w:val="00E63E45"/>
    <w:rsid w:val="00E661AC"/>
    <w:rsid w:val="00E67133"/>
    <w:rsid w:val="00E70094"/>
    <w:rsid w:val="00E716F6"/>
    <w:rsid w:val="00E74050"/>
    <w:rsid w:val="00E752C9"/>
    <w:rsid w:val="00E754CC"/>
    <w:rsid w:val="00E760FA"/>
    <w:rsid w:val="00E766B1"/>
    <w:rsid w:val="00E77C40"/>
    <w:rsid w:val="00E800A9"/>
    <w:rsid w:val="00E8147B"/>
    <w:rsid w:val="00E8263C"/>
    <w:rsid w:val="00E83BE4"/>
    <w:rsid w:val="00E846BB"/>
    <w:rsid w:val="00E855D6"/>
    <w:rsid w:val="00E85CE7"/>
    <w:rsid w:val="00E906FB"/>
    <w:rsid w:val="00E91775"/>
    <w:rsid w:val="00E936B3"/>
    <w:rsid w:val="00E93708"/>
    <w:rsid w:val="00E94661"/>
    <w:rsid w:val="00E94DB3"/>
    <w:rsid w:val="00EA2E7A"/>
    <w:rsid w:val="00EA341E"/>
    <w:rsid w:val="00EA4316"/>
    <w:rsid w:val="00EA487F"/>
    <w:rsid w:val="00EA548B"/>
    <w:rsid w:val="00EA59C7"/>
    <w:rsid w:val="00EA6D56"/>
    <w:rsid w:val="00EA6D72"/>
    <w:rsid w:val="00EA7FA5"/>
    <w:rsid w:val="00EB12B6"/>
    <w:rsid w:val="00EB42E6"/>
    <w:rsid w:val="00EB5565"/>
    <w:rsid w:val="00EC0CE8"/>
    <w:rsid w:val="00EC3A46"/>
    <w:rsid w:val="00EC5692"/>
    <w:rsid w:val="00EC7E84"/>
    <w:rsid w:val="00ED06BD"/>
    <w:rsid w:val="00ED0FFE"/>
    <w:rsid w:val="00ED18FB"/>
    <w:rsid w:val="00EE2987"/>
    <w:rsid w:val="00EE3A2C"/>
    <w:rsid w:val="00EE3D09"/>
    <w:rsid w:val="00EE55A9"/>
    <w:rsid w:val="00EE5CA4"/>
    <w:rsid w:val="00EE5CAB"/>
    <w:rsid w:val="00EE6566"/>
    <w:rsid w:val="00EE69C9"/>
    <w:rsid w:val="00EE7B05"/>
    <w:rsid w:val="00EF01A6"/>
    <w:rsid w:val="00EF7103"/>
    <w:rsid w:val="00EF7A45"/>
    <w:rsid w:val="00F00000"/>
    <w:rsid w:val="00F00B2D"/>
    <w:rsid w:val="00F04792"/>
    <w:rsid w:val="00F049DF"/>
    <w:rsid w:val="00F04DCA"/>
    <w:rsid w:val="00F05947"/>
    <w:rsid w:val="00F0685E"/>
    <w:rsid w:val="00F10D67"/>
    <w:rsid w:val="00F12050"/>
    <w:rsid w:val="00F120D8"/>
    <w:rsid w:val="00F12A25"/>
    <w:rsid w:val="00F151A6"/>
    <w:rsid w:val="00F16862"/>
    <w:rsid w:val="00F1687B"/>
    <w:rsid w:val="00F179C8"/>
    <w:rsid w:val="00F20568"/>
    <w:rsid w:val="00F20D74"/>
    <w:rsid w:val="00F23B89"/>
    <w:rsid w:val="00F316F9"/>
    <w:rsid w:val="00F318A3"/>
    <w:rsid w:val="00F3192C"/>
    <w:rsid w:val="00F32B8C"/>
    <w:rsid w:val="00F34C46"/>
    <w:rsid w:val="00F356BD"/>
    <w:rsid w:val="00F3575A"/>
    <w:rsid w:val="00F427F2"/>
    <w:rsid w:val="00F50DBF"/>
    <w:rsid w:val="00F53436"/>
    <w:rsid w:val="00F5501D"/>
    <w:rsid w:val="00F5519B"/>
    <w:rsid w:val="00F55A6D"/>
    <w:rsid w:val="00F60232"/>
    <w:rsid w:val="00F6279F"/>
    <w:rsid w:val="00F64208"/>
    <w:rsid w:val="00F66802"/>
    <w:rsid w:val="00F67E48"/>
    <w:rsid w:val="00F70BB0"/>
    <w:rsid w:val="00F74059"/>
    <w:rsid w:val="00F74157"/>
    <w:rsid w:val="00F74589"/>
    <w:rsid w:val="00F75655"/>
    <w:rsid w:val="00F76B43"/>
    <w:rsid w:val="00F809F2"/>
    <w:rsid w:val="00F828D8"/>
    <w:rsid w:val="00F85C87"/>
    <w:rsid w:val="00F91E7D"/>
    <w:rsid w:val="00F97C3F"/>
    <w:rsid w:val="00FA03DE"/>
    <w:rsid w:val="00FA3F4D"/>
    <w:rsid w:val="00FA53DE"/>
    <w:rsid w:val="00FA5D70"/>
    <w:rsid w:val="00FA689E"/>
    <w:rsid w:val="00FA7A8B"/>
    <w:rsid w:val="00FB090E"/>
    <w:rsid w:val="00FB3C22"/>
    <w:rsid w:val="00FB6B2E"/>
    <w:rsid w:val="00FC2B89"/>
    <w:rsid w:val="00FC30C5"/>
    <w:rsid w:val="00FC3F92"/>
    <w:rsid w:val="00FC3FC0"/>
    <w:rsid w:val="00FC54EA"/>
    <w:rsid w:val="00FC7E1B"/>
    <w:rsid w:val="00FD17D1"/>
    <w:rsid w:val="00FD2FAC"/>
    <w:rsid w:val="00FD44E3"/>
    <w:rsid w:val="00FD4C0E"/>
    <w:rsid w:val="00FD729D"/>
    <w:rsid w:val="00FE0580"/>
    <w:rsid w:val="00FE1716"/>
    <w:rsid w:val="00FE2B52"/>
    <w:rsid w:val="00FE2EAA"/>
    <w:rsid w:val="00FE4482"/>
    <w:rsid w:val="00FE4B4D"/>
    <w:rsid w:val="00FE6A3E"/>
    <w:rsid w:val="00FE73B3"/>
    <w:rsid w:val="00FF0EF1"/>
    <w:rsid w:val="00FF1CF0"/>
    <w:rsid w:val="00FF3F26"/>
    <w:rsid w:val="00FF433F"/>
    <w:rsid w:val="00FF5F14"/>
    <w:rsid w:val="00FF7A0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er" w:uiPriority="99"/>
    <w:lsdException w:name="page number" w:uiPriority="99"/>
  </w:latentStyles>
  <w:style w:type="paragraph" w:default="1" w:styleId="Normal">
    <w:name w:val="Normal"/>
    <w:qFormat/>
    <w:rsid w:val="007A3FCF"/>
  </w:style>
  <w:style w:type="paragraph" w:styleId="Heading1">
    <w:name w:val="heading 1"/>
    <w:basedOn w:val="Normal"/>
    <w:next w:val="Normal"/>
    <w:link w:val="Heading1Char"/>
    <w:uiPriority w:val="9"/>
    <w:qFormat/>
    <w:rsid w:val="00D162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C63B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469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228"/>
    <w:rPr>
      <w:rFonts w:asciiTheme="majorHAnsi" w:eastAsiaTheme="majorEastAsia" w:hAnsiTheme="majorHAnsi" w:cstheme="majorBidi"/>
      <w:b/>
      <w:bCs/>
      <w:color w:val="345A8A" w:themeColor="accent1" w:themeShade="B5"/>
      <w:sz w:val="32"/>
      <w:szCs w:val="32"/>
    </w:rPr>
  </w:style>
  <w:style w:type="paragraph" w:customStyle="1" w:styleId="Body">
    <w:name w:val="Body"/>
    <w:basedOn w:val="Normal"/>
    <w:rsid w:val="00343DB7"/>
    <w:pPr>
      <w:spacing w:before="240"/>
    </w:pPr>
    <w:rPr>
      <w:rFonts w:ascii="Times New Roman" w:hAnsi="Times New Roman"/>
    </w:rPr>
  </w:style>
  <w:style w:type="character" w:styleId="Hyperlink">
    <w:name w:val="Hyperlink"/>
    <w:basedOn w:val="DefaultParagraphFont"/>
    <w:uiPriority w:val="99"/>
    <w:unhideWhenUsed/>
    <w:rsid w:val="00D16228"/>
    <w:rPr>
      <w:color w:val="0000FF" w:themeColor="hyperlink"/>
      <w:u w:val="single"/>
    </w:rPr>
  </w:style>
  <w:style w:type="paragraph" w:styleId="Footer">
    <w:name w:val="footer"/>
    <w:basedOn w:val="Normal"/>
    <w:link w:val="FooterChar"/>
    <w:uiPriority w:val="99"/>
    <w:rsid w:val="00CF5988"/>
    <w:pPr>
      <w:tabs>
        <w:tab w:val="center" w:pos="4320"/>
        <w:tab w:val="right" w:pos="8640"/>
      </w:tabs>
    </w:pPr>
  </w:style>
  <w:style w:type="character" w:customStyle="1" w:styleId="FooterChar">
    <w:name w:val="Footer Char"/>
    <w:basedOn w:val="DefaultParagraphFont"/>
    <w:link w:val="Footer"/>
    <w:uiPriority w:val="99"/>
    <w:rsid w:val="00CF5988"/>
  </w:style>
  <w:style w:type="character" w:styleId="PageNumber">
    <w:name w:val="page number"/>
    <w:basedOn w:val="DefaultParagraphFont"/>
    <w:uiPriority w:val="99"/>
    <w:rsid w:val="00CF5988"/>
  </w:style>
  <w:style w:type="paragraph" w:styleId="TOC1">
    <w:name w:val="toc 1"/>
    <w:basedOn w:val="Normal"/>
    <w:next w:val="Normal"/>
    <w:autoRedefine/>
    <w:uiPriority w:val="39"/>
    <w:rsid w:val="00CF5988"/>
  </w:style>
  <w:style w:type="paragraph" w:styleId="TOC2">
    <w:name w:val="toc 2"/>
    <w:basedOn w:val="Normal"/>
    <w:next w:val="Normal"/>
    <w:autoRedefine/>
    <w:uiPriority w:val="39"/>
    <w:rsid w:val="00CF5988"/>
    <w:pPr>
      <w:ind w:left="240"/>
    </w:pPr>
  </w:style>
  <w:style w:type="paragraph" w:styleId="TOC3">
    <w:name w:val="toc 3"/>
    <w:basedOn w:val="Normal"/>
    <w:next w:val="Normal"/>
    <w:autoRedefine/>
    <w:uiPriority w:val="39"/>
    <w:rsid w:val="00CF5988"/>
    <w:pPr>
      <w:ind w:left="480"/>
    </w:pPr>
  </w:style>
  <w:style w:type="paragraph" w:styleId="TOC4">
    <w:name w:val="toc 4"/>
    <w:basedOn w:val="Normal"/>
    <w:next w:val="Normal"/>
    <w:autoRedefine/>
    <w:rsid w:val="00CF5988"/>
    <w:pPr>
      <w:ind w:left="720"/>
    </w:pPr>
  </w:style>
  <w:style w:type="paragraph" w:styleId="TOC5">
    <w:name w:val="toc 5"/>
    <w:basedOn w:val="Normal"/>
    <w:next w:val="Normal"/>
    <w:autoRedefine/>
    <w:rsid w:val="00CF5988"/>
    <w:pPr>
      <w:ind w:left="960"/>
    </w:pPr>
  </w:style>
  <w:style w:type="paragraph" w:styleId="TOC6">
    <w:name w:val="toc 6"/>
    <w:basedOn w:val="Normal"/>
    <w:next w:val="Normal"/>
    <w:autoRedefine/>
    <w:rsid w:val="00CF5988"/>
    <w:pPr>
      <w:ind w:left="1200"/>
    </w:pPr>
  </w:style>
  <w:style w:type="paragraph" w:styleId="TOC7">
    <w:name w:val="toc 7"/>
    <w:basedOn w:val="Normal"/>
    <w:next w:val="Normal"/>
    <w:autoRedefine/>
    <w:rsid w:val="00CF5988"/>
    <w:pPr>
      <w:ind w:left="1440"/>
    </w:pPr>
  </w:style>
  <w:style w:type="paragraph" w:styleId="TOC8">
    <w:name w:val="toc 8"/>
    <w:basedOn w:val="Normal"/>
    <w:next w:val="Normal"/>
    <w:autoRedefine/>
    <w:rsid w:val="00CF5988"/>
    <w:pPr>
      <w:ind w:left="1680"/>
    </w:pPr>
  </w:style>
  <w:style w:type="paragraph" w:styleId="TOC9">
    <w:name w:val="toc 9"/>
    <w:basedOn w:val="Normal"/>
    <w:next w:val="Normal"/>
    <w:autoRedefine/>
    <w:rsid w:val="00CF5988"/>
    <w:pPr>
      <w:ind w:left="1920"/>
    </w:pPr>
  </w:style>
  <w:style w:type="paragraph" w:customStyle="1" w:styleId="Body2">
    <w:name w:val="Body2"/>
    <w:basedOn w:val="Normal"/>
    <w:qFormat/>
    <w:rsid w:val="00924EC3"/>
    <w:pPr>
      <w:spacing w:before="240"/>
    </w:pPr>
    <w:rPr>
      <w:rFonts w:ascii="Times New Roman" w:hAnsi="Times New Roman"/>
    </w:rPr>
  </w:style>
  <w:style w:type="paragraph" w:styleId="ListParagraph">
    <w:name w:val="List Paragraph"/>
    <w:basedOn w:val="Normal"/>
    <w:rsid w:val="00AB2B90"/>
    <w:pPr>
      <w:ind w:left="720"/>
      <w:contextualSpacing/>
    </w:pPr>
  </w:style>
  <w:style w:type="character" w:styleId="FollowedHyperlink">
    <w:name w:val="FollowedHyperlink"/>
    <w:basedOn w:val="DefaultParagraphFont"/>
    <w:rsid w:val="00ED18FB"/>
    <w:rPr>
      <w:color w:val="800080" w:themeColor="followedHyperlink"/>
      <w:u w:val="single"/>
    </w:rPr>
  </w:style>
  <w:style w:type="character" w:customStyle="1" w:styleId="Heading2Char">
    <w:name w:val="Heading 2 Char"/>
    <w:basedOn w:val="DefaultParagraphFont"/>
    <w:link w:val="Heading2"/>
    <w:rsid w:val="00C63BC7"/>
    <w:rPr>
      <w:rFonts w:asciiTheme="majorHAnsi" w:eastAsiaTheme="majorEastAsia" w:hAnsiTheme="majorHAnsi" w:cstheme="majorBidi"/>
      <w:b/>
      <w:bCs/>
      <w:color w:val="4F81BD" w:themeColor="accent1"/>
      <w:sz w:val="26"/>
      <w:szCs w:val="26"/>
    </w:rPr>
  </w:style>
  <w:style w:type="paragraph" w:customStyle="1" w:styleId="xl26">
    <w:name w:val="xl26"/>
    <w:basedOn w:val="Normal"/>
    <w:rsid w:val="0015209A"/>
    <w:pPr>
      <w:spacing w:before="100" w:beforeAutospacing="1" w:after="100" w:afterAutospacing="1"/>
      <w:jc w:val="center"/>
    </w:pPr>
    <w:rPr>
      <w:rFonts w:ascii="Times" w:eastAsia="Times New Roman" w:hAnsi="Times" w:cs="Times New Roman"/>
      <w:sz w:val="20"/>
      <w:szCs w:val="20"/>
      <w:lang w:eastAsia="en-US"/>
    </w:rPr>
  </w:style>
  <w:style w:type="paragraph" w:styleId="BalloonText">
    <w:name w:val="Balloon Text"/>
    <w:basedOn w:val="Normal"/>
    <w:link w:val="BalloonTextChar"/>
    <w:rsid w:val="0010466C"/>
    <w:rPr>
      <w:rFonts w:ascii="Lucida Grande" w:hAnsi="Lucida Grande" w:cs="Lucida Grande"/>
      <w:sz w:val="18"/>
      <w:szCs w:val="18"/>
    </w:rPr>
  </w:style>
  <w:style w:type="character" w:customStyle="1" w:styleId="BalloonTextChar">
    <w:name w:val="Balloon Text Char"/>
    <w:basedOn w:val="DefaultParagraphFont"/>
    <w:link w:val="BalloonText"/>
    <w:rsid w:val="0010466C"/>
    <w:rPr>
      <w:rFonts w:ascii="Lucida Grande" w:hAnsi="Lucida Grande" w:cs="Lucida Grande"/>
      <w:sz w:val="18"/>
      <w:szCs w:val="18"/>
    </w:rPr>
  </w:style>
  <w:style w:type="character" w:styleId="PlaceholderText">
    <w:name w:val="Placeholder Text"/>
    <w:basedOn w:val="DefaultParagraphFont"/>
    <w:rsid w:val="00B16B4B"/>
    <w:rPr>
      <w:color w:val="808080"/>
    </w:rPr>
  </w:style>
  <w:style w:type="paragraph" w:customStyle="1" w:styleId="Default">
    <w:name w:val="Default"/>
    <w:rsid w:val="00E91775"/>
    <w:pPr>
      <w:widowControl w:val="0"/>
      <w:autoSpaceDE w:val="0"/>
      <w:autoSpaceDN w:val="0"/>
      <w:adjustRightInd w:val="0"/>
    </w:pPr>
    <w:rPr>
      <w:rFonts w:ascii="Times New Roman" w:eastAsia="Times New Roman" w:hAnsi="Times New Roman" w:cs="Times New Roman"/>
      <w:color w:val="000000"/>
      <w:lang w:eastAsia="en-US"/>
    </w:rPr>
  </w:style>
  <w:style w:type="character" w:styleId="FootnoteReference">
    <w:name w:val="footnote reference"/>
    <w:basedOn w:val="DefaultParagraphFont"/>
    <w:rsid w:val="00E846BB"/>
    <w:rPr>
      <w:vertAlign w:val="superscript"/>
    </w:rPr>
  </w:style>
  <w:style w:type="character" w:customStyle="1" w:styleId="Heading3Char">
    <w:name w:val="Heading 3 Char"/>
    <w:basedOn w:val="DefaultParagraphFont"/>
    <w:link w:val="Heading3"/>
    <w:rsid w:val="0074697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footer" w:uiPriority="99"/>
    <w:lsdException w:name="page number" w:uiPriority="99"/>
  </w:latentStyles>
  <w:style w:type="paragraph" w:default="1" w:styleId="Normal">
    <w:name w:val="Normal"/>
    <w:qFormat/>
  </w:style>
  <w:style w:type="paragraph" w:styleId="Heading1">
    <w:name w:val="heading 1"/>
    <w:basedOn w:val="Normal"/>
    <w:next w:val="Normal"/>
    <w:link w:val="Heading1Char"/>
    <w:uiPriority w:val="9"/>
    <w:qFormat/>
    <w:rsid w:val="00D162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C63B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469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228"/>
    <w:rPr>
      <w:rFonts w:asciiTheme="majorHAnsi" w:eastAsiaTheme="majorEastAsia" w:hAnsiTheme="majorHAnsi" w:cstheme="majorBidi"/>
      <w:b/>
      <w:bCs/>
      <w:color w:val="345A8A" w:themeColor="accent1" w:themeShade="B5"/>
      <w:sz w:val="32"/>
      <w:szCs w:val="32"/>
    </w:rPr>
  </w:style>
  <w:style w:type="paragraph" w:customStyle="1" w:styleId="Body">
    <w:name w:val="Body"/>
    <w:basedOn w:val="Normal"/>
    <w:rsid w:val="00343DB7"/>
    <w:pPr>
      <w:spacing w:before="240"/>
    </w:pPr>
    <w:rPr>
      <w:rFonts w:ascii="Times New Roman" w:hAnsi="Times New Roman"/>
    </w:rPr>
  </w:style>
  <w:style w:type="character" w:styleId="Hyperlink">
    <w:name w:val="Hyperlink"/>
    <w:basedOn w:val="DefaultParagraphFont"/>
    <w:uiPriority w:val="99"/>
    <w:unhideWhenUsed/>
    <w:rsid w:val="00D16228"/>
    <w:rPr>
      <w:color w:val="0000FF" w:themeColor="hyperlink"/>
      <w:u w:val="single"/>
    </w:rPr>
  </w:style>
  <w:style w:type="paragraph" w:styleId="Footer">
    <w:name w:val="footer"/>
    <w:basedOn w:val="Normal"/>
    <w:link w:val="FooterChar"/>
    <w:uiPriority w:val="99"/>
    <w:rsid w:val="00CF5988"/>
    <w:pPr>
      <w:tabs>
        <w:tab w:val="center" w:pos="4320"/>
        <w:tab w:val="right" w:pos="8640"/>
      </w:tabs>
    </w:pPr>
  </w:style>
  <w:style w:type="character" w:customStyle="1" w:styleId="FooterChar">
    <w:name w:val="Footer Char"/>
    <w:basedOn w:val="DefaultParagraphFont"/>
    <w:link w:val="Footer"/>
    <w:uiPriority w:val="99"/>
    <w:rsid w:val="00CF5988"/>
  </w:style>
  <w:style w:type="character" w:styleId="PageNumber">
    <w:name w:val="page number"/>
    <w:basedOn w:val="DefaultParagraphFont"/>
    <w:uiPriority w:val="99"/>
    <w:rsid w:val="00CF5988"/>
  </w:style>
  <w:style w:type="paragraph" w:styleId="TOC1">
    <w:name w:val="toc 1"/>
    <w:basedOn w:val="Normal"/>
    <w:next w:val="Normal"/>
    <w:autoRedefine/>
    <w:uiPriority w:val="39"/>
    <w:rsid w:val="00CF5988"/>
  </w:style>
  <w:style w:type="paragraph" w:styleId="TOC2">
    <w:name w:val="toc 2"/>
    <w:basedOn w:val="Normal"/>
    <w:next w:val="Normal"/>
    <w:autoRedefine/>
    <w:uiPriority w:val="39"/>
    <w:rsid w:val="00CF5988"/>
    <w:pPr>
      <w:ind w:left="240"/>
    </w:pPr>
  </w:style>
  <w:style w:type="paragraph" w:styleId="TOC3">
    <w:name w:val="toc 3"/>
    <w:basedOn w:val="Normal"/>
    <w:next w:val="Normal"/>
    <w:autoRedefine/>
    <w:uiPriority w:val="39"/>
    <w:rsid w:val="00CF5988"/>
    <w:pPr>
      <w:ind w:left="480"/>
    </w:pPr>
  </w:style>
  <w:style w:type="paragraph" w:styleId="TOC4">
    <w:name w:val="toc 4"/>
    <w:basedOn w:val="Normal"/>
    <w:next w:val="Normal"/>
    <w:autoRedefine/>
    <w:rsid w:val="00CF5988"/>
    <w:pPr>
      <w:ind w:left="720"/>
    </w:pPr>
  </w:style>
  <w:style w:type="paragraph" w:styleId="TOC5">
    <w:name w:val="toc 5"/>
    <w:basedOn w:val="Normal"/>
    <w:next w:val="Normal"/>
    <w:autoRedefine/>
    <w:rsid w:val="00CF5988"/>
    <w:pPr>
      <w:ind w:left="960"/>
    </w:pPr>
  </w:style>
  <w:style w:type="paragraph" w:styleId="TOC6">
    <w:name w:val="toc 6"/>
    <w:basedOn w:val="Normal"/>
    <w:next w:val="Normal"/>
    <w:autoRedefine/>
    <w:rsid w:val="00CF5988"/>
    <w:pPr>
      <w:ind w:left="1200"/>
    </w:pPr>
  </w:style>
  <w:style w:type="paragraph" w:styleId="TOC7">
    <w:name w:val="toc 7"/>
    <w:basedOn w:val="Normal"/>
    <w:next w:val="Normal"/>
    <w:autoRedefine/>
    <w:rsid w:val="00CF5988"/>
    <w:pPr>
      <w:ind w:left="1440"/>
    </w:pPr>
  </w:style>
  <w:style w:type="paragraph" w:styleId="TOC8">
    <w:name w:val="toc 8"/>
    <w:basedOn w:val="Normal"/>
    <w:next w:val="Normal"/>
    <w:autoRedefine/>
    <w:rsid w:val="00CF5988"/>
    <w:pPr>
      <w:ind w:left="1680"/>
    </w:pPr>
  </w:style>
  <w:style w:type="paragraph" w:styleId="TOC9">
    <w:name w:val="toc 9"/>
    <w:basedOn w:val="Normal"/>
    <w:next w:val="Normal"/>
    <w:autoRedefine/>
    <w:rsid w:val="00CF5988"/>
    <w:pPr>
      <w:ind w:left="1920"/>
    </w:pPr>
  </w:style>
  <w:style w:type="paragraph" w:customStyle="1" w:styleId="Body2">
    <w:name w:val="Body2"/>
    <w:basedOn w:val="Normal"/>
    <w:qFormat/>
    <w:rsid w:val="00924EC3"/>
    <w:pPr>
      <w:spacing w:before="240"/>
    </w:pPr>
    <w:rPr>
      <w:rFonts w:ascii="Times New Roman" w:hAnsi="Times New Roman"/>
    </w:rPr>
  </w:style>
  <w:style w:type="paragraph" w:styleId="ListParagraph">
    <w:name w:val="List Paragraph"/>
    <w:basedOn w:val="Normal"/>
    <w:rsid w:val="00AB2B90"/>
    <w:pPr>
      <w:ind w:left="720"/>
      <w:contextualSpacing/>
    </w:pPr>
  </w:style>
  <w:style w:type="character" w:styleId="FollowedHyperlink">
    <w:name w:val="FollowedHyperlink"/>
    <w:basedOn w:val="DefaultParagraphFont"/>
    <w:rsid w:val="00ED18FB"/>
    <w:rPr>
      <w:color w:val="800080" w:themeColor="followedHyperlink"/>
      <w:u w:val="single"/>
    </w:rPr>
  </w:style>
  <w:style w:type="character" w:customStyle="1" w:styleId="Heading2Char">
    <w:name w:val="Heading 2 Char"/>
    <w:basedOn w:val="DefaultParagraphFont"/>
    <w:link w:val="Heading2"/>
    <w:rsid w:val="00C63BC7"/>
    <w:rPr>
      <w:rFonts w:asciiTheme="majorHAnsi" w:eastAsiaTheme="majorEastAsia" w:hAnsiTheme="majorHAnsi" w:cstheme="majorBidi"/>
      <w:b/>
      <w:bCs/>
      <w:color w:val="4F81BD" w:themeColor="accent1"/>
      <w:sz w:val="26"/>
      <w:szCs w:val="26"/>
    </w:rPr>
  </w:style>
  <w:style w:type="paragraph" w:customStyle="1" w:styleId="xl26">
    <w:name w:val="xl26"/>
    <w:basedOn w:val="Normal"/>
    <w:rsid w:val="0015209A"/>
    <w:pPr>
      <w:spacing w:before="100" w:beforeAutospacing="1" w:after="100" w:afterAutospacing="1"/>
      <w:jc w:val="center"/>
    </w:pPr>
    <w:rPr>
      <w:rFonts w:ascii="Times" w:eastAsia="Times New Roman" w:hAnsi="Times" w:cs="Times New Roman"/>
      <w:sz w:val="20"/>
      <w:szCs w:val="20"/>
      <w:lang w:eastAsia="en-US"/>
    </w:rPr>
  </w:style>
  <w:style w:type="paragraph" w:styleId="BalloonText">
    <w:name w:val="Balloon Text"/>
    <w:basedOn w:val="Normal"/>
    <w:link w:val="BalloonTextChar"/>
    <w:rsid w:val="0010466C"/>
    <w:rPr>
      <w:rFonts w:ascii="Lucida Grande" w:hAnsi="Lucida Grande" w:cs="Lucida Grande"/>
      <w:sz w:val="18"/>
      <w:szCs w:val="18"/>
    </w:rPr>
  </w:style>
  <w:style w:type="character" w:customStyle="1" w:styleId="BalloonTextChar">
    <w:name w:val="Balloon Text Char"/>
    <w:basedOn w:val="DefaultParagraphFont"/>
    <w:link w:val="BalloonText"/>
    <w:rsid w:val="0010466C"/>
    <w:rPr>
      <w:rFonts w:ascii="Lucida Grande" w:hAnsi="Lucida Grande" w:cs="Lucida Grande"/>
      <w:sz w:val="18"/>
      <w:szCs w:val="18"/>
    </w:rPr>
  </w:style>
  <w:style w:type="character" w:styleId="PlaceholderText">
    <w:name w:val="Placeholder Text"/>
    <w:basedOn w:val="DefaultParagraphFont"/>
    <w:rsid w:val="00B16B4B"/>
    <w:rPr>
      <w:color w:val="808080"/>
    </w:rPr>
  </w:style>
  <w:style w:type="paragraph" w:customStyle="1" w:styleId="Default">
    <w:name w:val="Default"/>
    <w:rsid w:val="00E91775"/>
    <w:pPr>
      <w:widowControl w:val="0"/>
      <w:autoSpaceDE w:val="0"/>
      <w:autoSpaceDN w:val="0"/>
      <w:adjustRightInd w:val="0"/>
    </w:pPr>
    <w:rPr>
      <w:rFonts w:ascii="Times New Roman" w:eastAsia="Times New Roman" w:hAnsi="Times New Roman" w:cs="Times New Roman"/>
      <w:color w:val="000000"/>
      <w:lang w:eastAsia="en-US"/>
    </w:rPr>
  </w:style>
  <w:style w:type="character" w:styleId="FootnoteReference">
    <w:name w:val="footnote reference"/>
    <w:basedOn w:val="DefaultParagraphFont"/>
    <w:rsid w:val="00E846BB"/>
    <w:rPr>
      <w:vertAlign w:val="superscript"/>
    </w:rPr>
  </w:style>
  <w:style w:type="character" w:customStyle="1" w:styleId="Heading3Char">
    <w:name w:val="Heading 3 Char"/>
    <w:basedOn w:val="DefaultParagraphFont"/>
    <w:link w:val="Heading3"/>
    <w:rsid w:val="0074697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8981197">
      <w:bodyDiv w:val="1"/>
      <w:marLeft w:val="0"/>
      <w:marRight w:val="0"/>
      <w:marTop w:val="0"/>
      <w:marBottom w:val="0"/>
      <w:divBdr>
        <w:top w:val="none" w:sz="0" w:space="0" w:color="auto"/>
        <w:left w:val="none" w:sz="0" w:space="0" w:color="auto"/>
        <w:bottom w:val="none" w:sz="0" w:space="0" w:color="auto"/>
        <w:right w:val="none" w:sz="0" w:space="0" w:color="auto"/>
      </w:divBdr>
    </w:div>
    <w:div w:id="184825928">
      <w:bodyDiv w:val="1"/>
      <w:marLeft w:val="0"/>
      <w:marRight w:val="0"/>
      <w:marTop w:val="0"/>
      <w:marBottom w:val="0"/>
      <w:divBdr>
        <w:top w:val="none" w:sz="0" w:space="0" w:color="auto"/>
        <w:left w:val="none" w:sz="0" w:space="0" w:color="auto"/>
        <w:bottom w:val="none" w:sz="0" w:space="0" w:color="auto"/>
        <w:right w:val="none" w:sz="0" w:space="0" w:color="auto"/>
      </w:divBdr>
    </w:div>
    <w:div w:id="219293807">
      <w:bodyDiv w:val="1"/>
      <w:marLeft w:val="0"/>
      <w:marRight w:val="0"/>
      <w:marTop w:val="0"/>
      <w:marBottom w:val="0"/>
      <w:divBdr>
        <w:top w:val="none" w:sz="0" w:space="0" w:color="auto"/>
        <w:left w:val="none" w:sz="0" w:space="0" w:color="auto"/>
        <w:bottom w:val="none" w:sz="0" w:space="0" w:color="auto"/>
        <w:right w:val="none" w:sz="0" w:space="0" w:color="auto"/>
      </w:divBdr>
    </w:div>
    <w:div w:id="294414151">
      <w:bodyDiv w:val="1"/>
      <w:marLeft w:val="0"/>
      <w:marRight w:val="0"/>
      <w:marTop w:val="0"/>
      <w:marBottom w:val="0"/>
      <w:divBdr>
        <w:top w:val="none" w:sz="0" w:space="0" w:color="auto"/>
        <w:left w:val="none" w:sz="0" w:space="0" w:color="auto"/>
        <w:bottom w:val="none" w:sz="0" w:space="0" w:color="auto"/>
        <w:right w:val="none" w:sz="0" w:space="0" w:color="auto"/>
      </w:divBdr>
    </w:div>
    <w:div w:id="342898873">
      <w:bodyDiv w:val="1"/>
      <w:marLeft w:val="0"/>
      <w:marRight w:val="0"/>
      <w:marTop w:val="0"/>
      <w:marBottom w:val="0"/>
      <w:divBdr>
        <w:top w:val="none" w:sz="0" w:space="0" w:color="auto"/>
        <w:left w:val="none" w:sz="0" w:space="0" w:color="auto"/>
        <w:bottom w:val="none" w:sz="0" w:space="0" w:color="auto"/>
        <w:right w:val="none" w:sz="0" w:space="0" w:color="auto"/>
      </w:divBdr>
    </w:div>
    <w:div w:id="755134191">
      <w:bodyDiv w:val="1"/>
      <w:marLeft w:val="0"/>
      <w:marRight w:val="0"/>
      <w:marTop w:val="0"/>
      <w:marBottom w:val="0"/>
      <w:divBdr>
        <w:top w:val="none" w:sz="0" w:space="0" w:color="auto"/>
        <w:left w:val="none" w:sz="0" w:space="0" w:color="auto"/>
        <w:bottom w:val="none" w:sz="0" w:space="0" w:color="auto"/>
        <w:right w:val="none" w:sz="0" w:space="0" w:color="auto"/>
      </w:divBdr>
    </w:div>
    <w:div w:id="809908189">
      <w:bodyDiv w:val="1"/>
      <w:marLeft w:val="0"/>
      <w:marRight w:val="0"/>
      <w:marTop w:val="0"/>
      <w:marBottom w:val="0"/>
      <w:divBdr>
        <w:top w:val="none" w:sz="0" w:space="0" w:color="auto"/>
        <w:left w:val="none" w:sz="0" w:space="0" w:color="auto"/>
        <w:bottom w:val="none" w:sz="0" w:space="0" w:color="auto"/>
        <w:right w:val="none" w:sz="0" w:space="0" w:color="auto"/>
      </w:divBdr>
    </w:div>
    <w:div w:id="938565274">
      <w:bodyDiv w:val="1"/>
      <w:marLeft w:val="0"/>
      <w:marRight w:val="0"/>
      <w:marTop w:val="0"/>
      <w:marBottom w:val="0"/>
      <w:divBdr>
        <w:top w:val="none" w:sz="0" w:space="0" w:color="auto"/>
        <w:left w:val="none" w:sz="0" w:space="0" w:color="auto"/>
        <w:bottom w:val="none" w:sz="0" w:space="0" w:color="auto"/>
        <w:right w:val="none" w:sz="0" w:space="0" w:color="auto"/>
      </w:divBdr>
    </w:div>
    <w:div w:id="1432510348">
      <w:bodyDiv w:val="1"/>
      <w:marLeft w:val="0"/>
      <w:marRight w:val="0"/>
      <w:marTop w:val="0"/>
      <w:marBottom w:val="0"/>
      <w:divBdr>
        <w:top w:val="none" w:sz="0" w:space="0" w:color="auto"/>
        <w:left w:val="none" w:sz="0" w:space="0" w:color="auto"/>
        <w:bottom w:val="none" w:sz="0" w:space="0" w:color="auto"/>
        <w:right w:val="none" w:sz="0" w:space="0" w:color="auto"/>
      </w:divBdr>
    </w:div>
    <w:div w:id="1462261714">
      <w:bodyDiv w:val="1"/>
      <w:marLeft w:val="0"/>
      <w:marRight w:val="0"/>
      <w:marTop w:val="0"/>
      <w:marBottom w:val="0"/>
      <w:divBdr>
        <w:top w:val="none" w:sz="0" w:space="0" w:color="auto"/>
        <w:left w:val="none" w:sz="0" w:space="0" w:color="auto"/>
        <w:bottom w:val="none" w:sz="0" w:space="0" w:color="auto"/>
        <w:right w:val="none" w:sz="0" w:space="0" w:color="auto"/>
      </w:divBdr>
    </w:div>
    <w:div w:id="1478448547">
      <w:bodyDiv w:val="1"/>
      <w:marLeft w:val="0"/>
      <w:marRight w:val="0"/>
      <w:marTop w:val="0"/>
      <w:marBottom w:val="0"/>
      <w:divBdr>
        <w:top w:val="none" w:sz="0" w:space="0" w:color="auto"/>
        <w:left w:val="none" w:sz="0" w:space="0" w:color="auto"/>
        <w:bottom w:val="none" w:sz="0" w:space="0" w:color="auto"/>
        <w:right w:val="none" w:sz="0" w:space="0" w:color="auto"/>
      </w:divBdr>
    </w:div>
    <w:div w:id="1500466262">
      <w:bodyDiv w:val="1"/>
      <w:marLeft w:val="0"/>
      <w:marRight w:val="0"/>
      <w:marTop w:val="0"/>
      <w:marBottom w:val="0"/>
      <w:divBdr>
        <w:top w:val="none" w:sz="0" w:space="0" w:color="auto"/>
        <w:left w:val="none" w:sz="0" w:space="0" w:color="auto"/>
        <w:bottom w:val="none" w:sz="0" w:space="0" w:color="auto"/>
        <w:right w:val="none" w:sz="0" w:space="0" w:color="auto"/>
      </w:divBdr>
    </w:div>
    <w:div w:id="1540899968">
      <w:bodyDiv w:val="1"/>
      <w:marLeft w:val="0"/>
      <w:marRight w:val="0"/>
      <w:marTop w:val="0"/>
      <w:marBottom w:val="0"/>
      <w:divBdr>
        <w:top w:val="none" w:sz="0" w:space="0" w:color="auto"/>
        <w:left w:val="none" w:sz="0" w:space="0" w:color="auto"/>
        <w:bottom w:val="none" w:sz="0" w:space="0" w:color="auto"/>
        <w:right w:val="none" w:sz="0" w:space="0" w:color="auto"/>
      </w:divBdr>
    </w:div>
    <w:div w:id="1750081001">
      <w:bodyDiv w:val="1"/>
      <w:marLeft w:val="0"/>
      <w:marRight w:val="0"/>
      <w:marTop w:val="0"/>
      <w:marBottom w:val="0"/>
      <w:divBdr>
        <w:top w:val="none" w:sz="0" w:space="0" w:color="auto"/>
        <w:left w:val="none" w:sz="0" w:space="0" w:color="auto"/>
        <w:bottom w:val="none" w:sz="0" w:space="0" w:color="auto"/>
        <w:right w:val="none" w:sz="0" w:space="0" w:color="auto"/>
      </w:divBdr>
    </w:div>
    <w:div w:id="2012296100">
      <w:bodyDiv w:val="1"/>
      <w:marLeft w:val="0"/>
      <w:marRight w:val="0"/>
      <w:marTop w:val="0"/>
      <w:marBottom w:val="0"/>
      <w:divBdr>
        <w:top w:val="none" w:sz="0" w:space="0" w:color="auto"/>
        <w:left w:val="none" w:sz="0" w:space="0" w:color="auto"/>
        <w:bottom w:val="none" w:sz="0" w:space="0" w:color="auto"/>
        <w:right w:val="none" w:sz="0" w:space="0" w:color="auto"/>
      </w:divBdr>
    </w:div>
    <w:div w:id="2068990523">
      <w:bodyDiv w:val="1"/>
      <w:marLeft w:val="0"/>
      <w:marRight w:val="0"/>
      <w:marTop w:val="0"/>
      <w:marBottom w:val="0"/>
      <w:divBdr>
        <w:top w:val="none" w:sz="0" w:space="0" w:color="auto"/>
        <w:left w:val="none" w:sz="0" w:space="0" w:color="auto"/>
        <w:bottom w:val="none" w:sz="0" w:space="0" w:color="auto"/>
        <w:right w:val="none" w:sz="0" w:space="0" w:color="auto"/>
      </w:divBdr>
    </w:div>
    <w:div w:id="2077630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http://www.epa.gov/hsrb/files/1d6-ethics-rvw-kisicki-etal-060109.pdf" TargetMode="Externa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image" Target="media/image9.emf"/><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8.bin"/><Relationship Id="rId10" Type="http://schemas.openxmlformats.org/officeDocument/2006/relationships/image" Target="media/image2.emf"/><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5.bin"/><Relationship Id="rId27" Type="http://schemas.openxmlformats.org/officeDocument/2006/relationships/image" Target="media/image10.emf"/><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leBHattis:Desktop:Chlorpyrifos%201/10:metab%20rate%20vs%20ing%20inhal%20dose%20for%20comap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0.15331146106736715"/>
          <c:y val="3.1746031746031703E-2"/>
          <c:w val="0.77458464566929108"/>
          <c:h val="0.84942866447050824"/>
        </c:manualLayout>
      </c:layout>
      <c:scatterChart>
        <c:scatterStyle val="lineMarker"/>
        <c:ser>
          <c:idx val="0"/>
          <c:order val="0"/>
          <c:tx>
            <c:v>Ingestion Dose/Blood</c:v>
          </c:tx>
          <c:spPr>
            <a:ln w="47625">
              <a:noFill/>
            </a:ln>
          </c:spPr>
          <c:xVal>
            <c:numRef>
              <c:f>'metab rate vs ing inhal dose fo'!$B$2:$B$20</c:f>
              <c:numCache>
                <c:formatCode>General</c:formatCode>
                <c:ptCount val="19"/>
                <c:pt idx="0">
                  <c:v>4.0550372000000008E-2</c:v>
                </c:pt>
                <c:pt idx="1">
                  <c:v>0.18600000000000005</c:v>
                </c:pt>
                <c:pt idx="2">
                  <c:v>0.8530000000000002</c:v>
                </c:pt>
                <c:pt idx="3">
                  <c:v>3.9119999999999981</c:v>
                </c:pt>
                <c:pt idx="4">
                  <c:v>17.94091229999999</c:v>
                </c:pt>
                <c:pt idx="5">
                  <c:v>0.62494270100000004</c:v>
                </c:pt>
                <c:pt idx="6">
                  <c:v>9.6486725000000023E-2</c:v>
                </c:pt>
                <c:pt idx="7">
                  <c:v>0</c:v>
                </c:pt>
                <c:pt idx="8">
                  <c:v>0.22152200000000002</c:v>
                </c:pt>
                <c:pt idx="9">
                  <c:v>2.0730000000000002E-2</c:v>
                </c:pt>
                <c:pt idx="10">
                  <c:v>2.7390000000000012E-2</c:v>
                </c:pt>
                <c:pt idx="11">
                  <c:v>6.0386696220000022</c:v>
                </c:pt>
                <c:pt idx="12">
                  <c:v>2.6342632369999999</c:v>
                </c:pt>
                <c:pt idx="13">
                  <c:v>1.1491509290000008</c:v>
                </c:pt>
                <c:pt idx="14">
                  <c:v>2.6000000000000016E-3</c:v>
                </c:pt>
                <c:pt idx="15">
                  <c:v>2.7390000000000012E-2</c:v>
                </c:pt>
                <c:pt idx="16">
                  <c:v>0.61587339300000021</c:v>
                </c:pt>
                <c:pt idx="17">
                  <c:v>9.7907582000000021E-2</c:v>
                </c:pt>
                <c:pt idx="18">
                  <c:v>0.24555788400000006</c:v>
                </c:pt>
              </c:numCache>
            </c:numRef>
          </c:xVal>
          <c:yVal>
            <c:numRef>
              <c:f>'metab rate vs ing inhal dose fo'!$D$2:$D$20</c:f>
              <c:numCache>
                <c:formatCode>General</c:formatCode>
                <c:ptCount val="19"/>
                <c:pt idx="1">
                  <c:v>34.694318550000013</c:v>
                </c:pt>
                <c:pt idx="2">
                  <c:v>155.46834210000006</c:v>
                </c:pt>
                <c:pt idx="3">
                  <c:v>709.75587860000019</c:v>
                </c:pt>
                <c:pt idx="7">
                  <c:v>1.9149056009999998</c:v>
                </c:pt>
                <c:pt idx="11">
                  <c:v>1095.1576830000001</c:v>
                </c:pt>
                <c:pt idx="12">
                  <c:v>478.24573669999995</c:v>
                </c:pt>
                <c:pt idx="13">
                  <c:v>209.1378497</c:v>
                </c:pt>
                <c:pt idx="16">
                  <c:v>112.51744400000003</c:v>
                </c:pt>
                <c:pt idx="17">
                  <c:v>18.821068240000006</c:v>
                </c:pt>
                <c:pt idx="18">
                  <c:v>45.464797789999999</c:v>
                </c:pt>
              </c:numCache>
            </c:numRef>
          </c:yVal>
        </c:ser>
        <c:ser>
          <c:idx val="1"/>
          <c:order val="1"/>
          <c:tx>
            <c:v>Inhalation Dose/Blood</c:v>
          </c:tx>
          <c:spPr>
            <a:ln w="47625">
              <a:noFill/>
            </a:ln>
          </c:spPr>
          <c:xVal>
            <c:numRef>
              <c:f>'metab rate vs ing inhal dose fo'!$B$2:$B$20</c:f>
              <c:numCache>
                <c:formatCode>General</c:formatCode>
                <c:ptCount val="19"/>
                <c:pt idx="0">
                  <c:v>4.0550372000000008E-2</c:v>
                </c:pt>
                <c:pt idx="1">
                  <c:v>0.18600000000000005</c:v>
                </c:pt>
                <c:pt idx="2">
                  <c:v>0.8530000000000002</c:v>
                </c:pt>
                <c:pt idx="3">
                  <c:v>3.9119999999999981</c:v>
                </c:pt>
                <c:pt idx="4">
                  <c:v>17.94091229999999</c:v>
                </c:pt>
                <c:pt idx="5">
                  <c:v>0.62494270100000004</c:v>
                </c:pt>
                <c:pt idx="6">
                  <c:v>9.6486725000000023E-2</c:v>
                </c:pt>
                <c:pt idx="7">
                  <c:v>0</c:v>
                </c:pt>
                <c:pt idx="8">
                  <c:v>0.22152200000000002</c:v>
                </c:pt>
                <c:pt idx="9">
                  <c:v>2.0730000000000002E-2</c:v>
                </c:pt>
                <c:pt idx="10">
                  <c:v>2.7390000000000012E-2</c:v>
                </c:pt>
                <c:pt idx="11">
                  <c:v>6.0386696220000022</c:v>
                </c:pt>
                <c:pt idx="12">
                  <c:v>2.6342632369999999</c:v>
                </c:pt>
                <c:pt idx="13">
                  <c:v>1.1491509290000008</c:v>
                </c:pt>
                <c:pt idx="14">
                  <c:v>2.6000000000000016E-3</c:v>
                </c:pt>
                <c:pt idx="15">
                  <c:v>2.7390000000000012E-2</c:v>
                </c:pt>
                <c:pt idx="16">
                  <c:v>0.61587339300000021</c:v>
                </c:pt>
                <c:pt idx="17">
                  <c:v>9.7907582000000021E-2</c:v>
                </c:pt>
                <c:pt idx="18">
                  <c:v>0.24555788400000006</c:v>
                </c:pt>
              </c:numCache>
            </c:numRef>
          </c:xVal>
          <c:yVal>
            <c:numRef>
              <c:f>'metab rate vs ing inhal dose fo'!$G$2:$G$20</c:f>
              <c:numCache>
                <c:formatCode>General</c:formatCode>
                <c:ptCount val="19"/>
                <c:pt idx="0">
                  <c:v>7.0537886199999988</c:v>
                </c:pt>
                <c:pt idx="1">
                  <c:v>17.07519452</c:v>
                </c:pt>
                <c:pt idx="2">
                  <c:v>27.04877467999999</c:v>
                </c:pt>
                <c:pt idx="3">
                  <c:v>31.144830010000007</c:v>
                </c:pt>
                <c:pt idx="4">
                  <c:v>32.215463390000011</c:v>
                </c:pt>
                <c:pt idx="5">
                  <c:v>25.49677458999999</c:v>
                </c:pt>
                <c:pt idx="6">
                  <c:v>12.109881960000001</c:v>
                </c:pt>
                <c:pt idx="7">
                  <c:v>1.9235142899999984</c:v>
                </c:pt>
                <c:pt idx="8">
                  <c:v>18.439573790000001</c:v>
                </c:pt>
                <c:pt idx="9">
                  <c:v>4.6821121419999843</c:v>
                </c:pt>
                <c:pt idx="10">
                  <c:v>5.516849036</c:v>
                </c:pt>
                <c:pt idx="11">
                  <c:v>31.61780146000002</c:v>
                </c:pt>
                <c:pt idx="12">
                  <c:v>30.516984040000008</c:v>
                </c:pt>
                <c:pt idx="14">
                  <c:v>2.2526634349999961</c:v>
                </c:pt>
                <c:pt idx="15">
                  <c:v>5.516849036</c:v>
                </c:pt>
                <c:pt idx="16">
                  <c:v>25.416655590000001</c:v>
                </c:pt>
                <c:pt idx="17">
                  <c:v>12.213136500000003</c:v>
                </c:pt>
                <c:pt idx="18">
                  <c:v>19.23371641</c:v>
                </c:pt>
              </c:numCache>
            </c:numRef>
          </c:yVal>
        </c:ser>
        <c:axId val="68315392"/>
        <c:axId val="68321664"/>
      </c:scatterChart>
      <c:valAx>
        <c:axId val="68315392"/>
        <c:scaling>
          <c:orientation val="minMax"/>
          <c:max val="5"/>
        </c:scaling>
        <c:axPos val="b"/>
        <c:title>
          <c:tx>
            <c:rich>
              <a:bodyPr/>
              <a:lstStyle/>
              <a:p>
                <a:pPr>
                  <a:defRPr/>
                </a:pPr>
                <a:r>
                  <a:rPr lang="en-US"/>
                  <a:t>Liver Metabolism Rate (per minute)</a:t>
                </a:r>
              </a:p>
            </c:rich>
          </c:tx>
          <c:layout>
            <c:manualLayout>
              <c:xMode val="edge"/>
              <c:yMode val="edge"/>
              <c:x val="0.41560031798909713"/>
              <c:y val="0.9291208821873812"/>
            </c:manualLayout>
          </c:layout>
        </c:title>
        <c:numFmt formatCode="General" sourceLinked="1"/>
        <c:tickLblPos val="nextTo"/>
        <c:crossAx val="68321664"/>
        <c:crosses val="autoZero"/>
        <c:crossBetween val="midCat"/>
      </c:valAx>
      <c:valAx>
        <c:axId val="68321664"/>
        <c:scaling>
          <c:orientation val="minMax"/>
          <c:max val="130"/>
          <c:min val="0"/>
        </c:scaling>
        <c:axPos val="l"/>
        <c:majorGridlines/>
        <c:title>
          <c:tx>
            <c:rich>
              <a:bodyPr rot="-5400000" vert="horz"/>
              <a:lstStyle/>
              <a:p>
                <a:pPr>
                  <a:defRPr/>
                </a:pPr>
                <a:r>
                  <a:rPr lang="en-US"/>
                  <a:t>Dose/Blood Level Ratio </a:t>
                </a:r>
                <a:br>
                  <a:rPr lang="en-US"/>
                </a:br>
                <a:r>
                  <a:rPr lang="en-US"/>
                  <a:t>ng/kg-day dose/pg/g Blood</a:t>
                </a:r>
              </a:p>
            </c:rich>
          </c:tx>
          <c:layout>
            <c:manualLayout>
              <c:xMode val="edge"/>
              <c:yMode val="edge"/>
              <c:x val="7.3005978419364223E-3"/>
              <c:y val="0.14479877515310605"/>
            </c:manualLayout>
          </c:layout>
        </c:title>
        <c:numFmt formatCode="General" sourceLinked="1"/>
        <c:tickLblPos val="nextTo"/>
        <c:crossAx val="68315392"/>
        <c:crosses val="autoZero"/>
        <c:crossBetween val="midCat"/>
      </c:valAx>
    </c:plotArea>
    <c:legend>
      <c:legendPos val="r"/>
      <c:layout>
        <c:manualLayout>
          <c:xMode val="edge"/>
          <c:yMode val="edge"/>
          <c:x val="0.59138832525741969"/>
          <c:y val="0.23777536394499604"/>
          <c:w val="0.31235090405366023"/>
          <c:h val="0.11565795121320602"/>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13928</Words>
  <Characters>79395</Characters>
  <Application>Microsoft Office Word</Application>
  <DocSecurity>0</DocSecurity>
  <Lines>661</Lines>
  <Paragraphs>186</Paragraphs>
  <ScaleCrop>false</ScaleCrop>
  <Company>Clark University</Company>
  <LinksUpToDate>false</LinksUpToDate>
  <CharactersWithSpaces>93137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Hattis</dc:creator>
  <cp:lastModifiedBy>hhoumani</cp:lastModifiedBy>
  <cp:revision>2</cp:revision>
  <cp:lastPrinted>2012-05-11T11:12:00Z</cp:lastPrinted>
  <dcterms:created xsi:type="dcterms:W3CDTF">2013-03-11T19:19:00Z</dcterms:created>
  <dcterms:modified xsi:type="dcterms:W3CDTF">2013-03-11T19:19:00Z</dcterms:modified>
</cp:coreProperties>
</file>