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0A2" w:rsidRPr="002500A2" w:rsidRDefault="002500A2" w:rsidP="00A97894">
      <w:pPr>
        <w:jc w:val="center"/>
        <w:rPr>
          <w:rFonts w:ascii="Times New Roman" w:hAnsi="Times New Roman"/>
          <w:b/>
          <w:sz w:val="28"/>
          <w:szCs w:val="28"/>
        </w:rPr>
      </w:pPr>
      <w:proofErr w:type="spellStart"/>
      <w:r w:rsidRPr="002500A2">
        <w:rPr>
          <w:rFonts w:ascii="Times New Roman" w:hAnsi="Times New Roman"/>
          <w:b/>
          <w:sz w:val="28"/>
          <w:szCs w:val="28"/>
        </w:rPr>
        <w:t>Chlorpyrifos</w:t>
      </w:r>
      <w:proofErr w:type="spellEnd"/>
      <w:r w:rsidRPr="002500A2">
        <w:rPr>
          <w:rFonts w:ascii="Times New Roman" w:hAnsi="Times New Roman"/>
          <w:b/>
          <w:sz w:val="28"/>
          <w:szCs w:val="28"/>
        </w:rPr>
        <w:t xml:space="preserve"> Doses to Women of the Columbia University Cohort and Neurodevelopmental Impairment—A Bayesian-Inspired Uncertainty Analysis and Risk Projection Reflecting Inputs from Different Sources of Information</w:t>
      </w:r>
    </w:p>
    <w:p w:rsidR="002500A2" w:rsidRDefault="002500A2" w:rsidP="00A97894">
      <w:pPr>
        <w:jc w:val="center"/>
        <w:rPr>
          <w:rFonts w:ascii="Times New Roman" w:hAnsi="Times New Roman"/>
          <w:b/>
          <w:sz w:val="36"/>
        </w:rPr>
      </w:pPr>
    </w:p>
    <w:p w:rsidR="00A97894" w:rsidRDefault="00A97894" w:rsidP="00A97894">
      <w:pPr>
        <w:jc w:val="center"/>
        <w:rPr>
          <w:b/>
        </w:rPr>
      </w:pPr>
      <w:r>
        <w:rPr>
          <w:b/>
        </w:rPr>
        <w:t>Supplemental Material</w:t>
      </w:r>
    </w:p>
    <w:p w:rsidR="00A97894" w:rsidRDefault="00FE0200" w:rsidP="00A97894">
      <w:pPr>
        <w:jc w:val="center"/>
        <w:rPr>
          <w:b/>
        </w:rPr>
      </w:pPr>
      <w:r>
        <w:rPr>
          <w:b/>
        </w:rPr>
        <w:t xml:space="preserve">Detailed material on individual sources of information </w:t>
      </w:r>
      <w:r w:rsidR="00A97894">
        <w:rPr>
          <w:b/>
        </w:rPr>
        <w:t>and inferences for the uncertainty distribution for the dose/blood level ratio at low doses</w:t>
      </w:r>
    </w:p>
    <w:p w:rsidR="00FE0200" w:rsidRPr="00635E94" w:rsidRDefault="00FE0200" w:rsidP="00FE0200">
      <w:pPr>
        <w:pStyle w:val="Heading3"/>
        <w:rPr>
          <w:rFonts w:ascii="Times New Roman" w:hAnsi="Times New Roman" w:cs="Times New Roman"/>
        </w:rPr>
      </w:pPr>
      <w:bookmarkStart w:id="0" w:name="_Toc210107945"/>
      <w:r w:rsidRPr="00635E94">
        <w:rPr>
          <w:rFonts w:ascii="Times New Roman" w:hAnsi="Times New Roman" w:cs="Times New Roman"/>
        </w:rPr>
        <w:t>1</w:t>
      </w:r>
      <w:r w:rsidR="00F05973" w:rsidRPr="00635E94">
        <w:rPr>
          <w:rFonts w:ascii="Times New Roman" w:hAnsi="Times New Roman" w:cs="Times New Roman"/>
        </w:rPr>
        <w:t>.</w:t>
      </w:r>
      <w:r w:rsidRPr="00635E94">
        <w:rPr>
          <w:rFonts w:ascii="Times New Roman" w:hAnsi="Times New Roman" w:cs="Times New Roman"/>
        </w:rPr>
        <w:t xml:space="preserve"> Constructing the Initial “Prior” From Measured Air Exposures and Metabolite Excretion in Relation to Observed Blood Levels</w:t>
      </w:r>
      <w:bookmarkEnd w:id="0"/>
    </w:p>
    <w:p w:rsidR="00FE0200" w:rsidRPr="005878D4" w:rsidRDefault="00FE0200" w:rsidP="00FE0200">
      <w:pPr>
        <w:pStyle w:val="Body"/>
      </w:pPr>
      <w:r>
        <w:t xml:space="preserve">The Columbia University researchers have conducted extensive measurements of air levels of </w:t>
      </w:r>
      <w:proofErr w:type="spellStart"/>
      <w:r>
        <w:t>chlorpyrifos</w:t>
      </w:r>
      <w:proofErr w:type="spellEnd"/>
      <w:r>
        <w:t xml:space="preserve"> for individual women over the various years of their study, using both 48-hour personal monitoring, and longer duration measurements of indoor air. The Columbia cohort women likely received inhalation, dermal and hand-to-mouth oral exposures from </w:t>
      </w:r>
      <w:proofErr w:type="spellStart"/>
      <w:r>
        <w:t>chlorpyrifos</w:t>
      </w:r>
      <w:proofErr w:type="spellEnd"/>
      <w:r>
        <w:t xml:space="preserve"> residues in their dwellings.  It is also possible that some airborne </w:t>
      </w:r>
      <w:proofErr w:type="spellStart"/>
      <w:r>
        <w:t>chlorpyrifos</w:t>
      </w:r>
      <w:proofErr w:type="spellEnd"/>
      <w:r>
        <w:t xml:space="preserve"> may have become effective oral exposures by dissolution in fat-containing foods.  Therefore, the observed relationship of the women’s blood levels to air exposures provides a set of minimum estimates of </w:t>
      </w:r>
      <w:proofErr w:type="spellStart"/>
      <w:r>
        <w:t>chlorpyrifos</w:t>
      </w:r>
      <w:proofErr w:type="spellEnd"/>
      <w:r>
        <w:t xml:space="preserve"> dose per unit of blood level (Table </w:t>
      </w:r>
      <w:r w:rsidR="002500A2">
        <w:t xml:space="preserve">S1—corresponds to Table </w:t>
      </w:r>
      <w:r>
        <w:t>II</w:t>
      </w:r>
      <w:r w:rsidR="002500A2">
        <w:t xml:space="preserve"> in the final technical report</w:t>
      </w:r>
      <w:r>
        <w:t>). Because many blood levels in later years are non-detects, there is some merit in using ratios from the earlier years, when non-detects were not a major problem for the analysis.  We therefore have bold</w:t>
      </w:r>
      <w:r w:rsidR="002500A2">
        <w:t>ed one specific entry in Table S1</w:t>
      </w:r>
      <w:r>
        <w:t>--</w:t>
      </w:r>
      <w:proofErr w:type="gramStart"/>
      <w:r>
        <w:t xml:space="preserve">0.56 </w:t>
      </w:r>
      <w:proofErr w:type="spellStart"/>
      <w:r>
        <w:t>ng</w:t>
      </w:r>
      <w:proofErr w:type="spellEnd"/>
      <w:r>
        <w:t>/kg-day per pg/g maternal blood as providing a minimal estimate</w:t>
      </w:r>
      <w:proofErr w:type="gramEnd"/>
      <w:r>
        <w:t xml:space="preserve">.  Later PBPK </w:t>
      </w:r>
      <w:proofErr w:type="gramStart"/>
      <w:r>
        <w:t>modeling,</w:t>
      </w:r>
      <w:proofErr w:type="gramEnd"/>
      <w:r>
        <w:t xml:space="preserve"> however requires a revision of this floor estimate.  Even with zero </w:t>
      </w:r>
      <w:proofErr w:type="spellStart"/>
      <w:r>
        <w:t>chlorpyrifos</w:t>
      </w:r>
      <w:proofErr w:type="spellEnd"/>
      <w:r>
        <w:t xml:space="preserve"> metabolism rates, both the ingestion and inhalation models with baseline partition coefficients yielded minimum dose/blood level ratios of at least 1.92 </w:t>
      </w:r>
      <w:proofErr w:type="spellStart"/>
      <w:r>
        <w:t>ng</w:t>
      </w:r>
      <w:proofErr w:type="spellEnd"/>
      <w:r>
        <w:t xml:space="preserve">/kg-day/pg/g blood.  With tissue/blood partition coefficients corresponding to 2 standard deviations below the inferred central estimate calculated from Lowe et al, (that is, a fat/blood partition coefficient of 94), a zero metabolism rate would yield a dose/blood level ratio of 1.59 </w:t>
      </w:r>
      <w:proofErr w:type="spellStart"/>
      <w:r>
        <w:t>ng</w:t>
      </w:r>
      <w:proofErr w:type="spellEnd"/>
      <w:r>
        <w:t>/kg-day/pg/g blood.  Because of this we chose this value as a modified lower bound estimate for both our inhalation and ingestion dose/blood level ratios</w:t>
      </w:r>
    </w:p>
    <w:p w:rsidR="00FE0200" w:rsidRDefault="00FE0200" w:rsidP="00FE0200">
      <w:pPr>
        <w:pStyle w:val="Body2"/>
      </w:pPr>
      <w:r>
        <w:t xml:space="preserve">An upper bound estimate of the inhalation dose/blood level ratio is constructed from similar Columbia cohort data on the relationship between excretion of the </w:t>
      </w:r>
      <w:proofErr w:type="spellStart"/>
      <w:r>
        <w:t>chlorpyrifos</w:t>
      </w:r>
      <w:proofErr w:type="spellEnd"/>
      <w:r>
        <w:t xml:space="preserve"> metabolite </w:t>
      </w:r>
      <w:proofErr w:type="spellStart"/>
      <w:r>
        <w:t>TCPy</w:t>
      </w:r>
      <w:proofErr w:type="spellEnd"/>
      <w:r>
        <w:t xml:space="preserve"> </w:t>
      </w:r>
      <w:r w:rsidRPr="0016787C">
        <w:rPr>
          <w:rFonts w:cs="Times New Roman"/>
        </w:rPr>
        <w:t xml:space="preserve">(3,5,6-trichloro-2-pyridinol) and </w:t>
      </w:r>
      <w:proofErr w:type="spellStart"/>
      <w:r w:rsidRPr="0016787C">
        <w:rPr>
          <w:rFonts w:cs="Times New Roman"/>
        </w:rPr>
        <w:t>chlorpyrifos</w:t>
      </w:r>
      <w:proofErr w:type="spellEnd"/>
      <w:r w:rsidRPr="0016787C">
        <w:rPr>
          <w:rFonts w:cs="Times New Roman"/>
        </w:rPr>
        <w:t xml:space="preserve"> blood levels.  </w:t>
      </w:r>
      <w:r>
        <w:rPr>
          <w:rFonts w:cs="Times New Roman"/>
        </w:rPr>
        <w:t xml:space="preserve"> </w:t>
      </w:r>
      <w:r>
        <w:t>Such ratios (</w:t>
      </w:r>
      <w:r w:rsidR="002500A2">
        <w:t xml:space="preserve">Table S2—corresponds to </w:t>
      </w:r>
      <w:r>
        <w:t>Table III</w:t>
      </w:r>
      <w:r w:rsidR="002500A2">
        <w:t xml:space="preserve"> of the final technical report</w:t>
      </w:r>
      <w:r>
        <w:t xml:space="preserve">) represent an upper bound because there are </w:t>
      </w:r>
      <w:proofErr w:type="spellStart"/>
      <w:r>
        <w:t>are</w:t>
      </w:r>
      <w:proofErr w:type="spellEnd"/>
      <w:r>
        <w:t xml:space="preserve"> several contributions to the urinary excretion of </w:t>
      </w:r>
      <w:proofErr w:type="spellStart"/>
      <w:r>
        <w:t>TCPy</w:t>
      </w:r>
      <w:proofErr w:type="spellEnd"/>
      <w:r>
        <w:t xml:space="preserve"> in addition to </w:t>
      </w:r>
      <w:proofErr w:type="spellStart"/>
      <w:r>
        <w:t>breackdown</w:t>
      </w:r>
      <w:proofErr w:type="spellEnd"/>
      <w:r>
        <w:t xml:space="preserve"> from absorbed </w:t>
      </w:r>
      <w:proofErr w:type="spellStart"/>
      <w:r>
        <w:t>chlorpyrifos</w:t>
      </w:r>
      <w:proofErr w:type="spellEnd"/>
      <w:r>
        <w:t xml:space="preserve">, most notably preformed </w:t>
      </w:r>
      <w:proofErr w:type="spellStart"/>
      <w:r>
        <w:t>TCPy</w:t>
      </w:r>
      <w:proofErr w:type="spellEnd"/>
      <w:r>
        <w:t xml:space="preserve"> in the diet resulting from agricultural uses of </w:t>
      </w:r>
      <w:proofErr w:type="spellStart"/>
      <w:r>
        <w:t>chlorpyrifos</w:t>
      </w:r>
      <w:proofErr w:type="spellEnd"/>
      <w:r w:rsidR="004375A8">
        <w:fldChar w:fldCharType="begin">
          <w:fldData xml:space="preserve">PEVuZE5vdGU+PENpdGU+PEF1dGhvcj5FYXRvbjwvQXV0aG9yPjxZZWFyPjIwMDg8L1llYXI+PFJl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</w:fldData>
        </w:fldChar>
      </w:r>
      <w:r w:rsidR="002B6D02">
        <w:instrText xml:space="preserve"> ADDIN EN.CITE </w:instrText>
      </w:r>
      <w:r w:rsidR="004375A8">
        <w:fldChar w:fldCharType="begin">
          <w:fldData xml:space="preserve">PEVuZE5vdGU+PENpdGU+PEF1dGhvcj5FYXRvbjwvQXV0aG9yPjxZZWFyPjIwMDg8L1llYXI+PFJl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</w:fldData>
        </w:fldChar>
      </w:r>
      <w:r w:rsidR="002B6D02">
        <w:instrText xml:space="preserve"> ADDIN EN.CITE.DATA </w:instrText>
      </w:r>
      <w:r w:rsidR="004375A8">
        <w:fldChar w:fldCharType="end"/>
      </w:r>
      <w:r w:rsidR="004375A8">
        <w:fldChar w:fldCharType="separate"/>
      </w:r>
      <w:r w:rsidR="002B6D02" w:rsidRPr="002B6D02">
        <w:rPr>
          <w:noProof/>
          <w:vertAlign w:val="superscript"/>
        </w:rPr>
        <w:t>(</w:t>
      </w:r>
      <w:hyperlink w:anchor="_ENREF_1" w:tooltip="Eaton, 2008 #30" w:history="1">
        <w:r w:rsidR="002B6D02" w:rsidRPr="002B6D02">
          <w:rPr>
            <w:noProof/>
            <w:vertAlign w:val="superscript"/>
          </w:rPr>
          <w:t>1</w:t>
        </w:r>
      </w:hyperlink>
      <w:r w:rsidR="002B6D02" w:rsidRPr="002B6D02">
        <w:rPr>
          <w:noProof/>
          <w:vertAlign w:val="superscript"/>
        </w:rPr>
        <w:t>)</w:t>
      </w:r>
      <w:r w:rsidR="004375A8">
        <w:fldChar w:fldCharType="end"/>
      </w:r>
      <w:r>
        <w:t xml:space="preserve">.  </w:t>
      </w:r>
    </w:p>
    <w:p w:rsidR="002500A2" w:rsidRDefault="002500A2">
      <w:pPr>
        <w:rPr>
          <w:rFonts w:ascii="Times New Roman" w:hAnsi="Times New Roman"/>
        </w:rPr>
      </w:pPr>
      <w:r>
        <w:br w:type="page"/>
      </w:r>
    </w:p>
    <w:p w:rsidR="002500A2" w:rsidRPr="00367AFE" w:rsidRDefault="002500A2" w:rsidP="002500A2">
      <w:pPr>
        <w:pStyle w:val="Body"/>
        <w:pBdr>
          <w:bottom w:val="single" w:sz="24" w:space="1" w:color="auto"/>
        </w:pBdr>
        <w:jc w:val="center"/>
        <w:rPr>
          <w:rFonts w:cs="Times New Roman"/>
          <w:b/>
        </w:rPr>
      </w:pPr>
      <w:r>
        <w:rPr>
          <w:rFonts w:cs="Times New Roman"/>
          <w:b/>
        </w:rPr>
        <w:lastRenderedPageBreak/>
        <w:t xml:space="preserve">Table S1—Corresponds to </w:t>
      </w:r>
      <w:r w:rsidRPr="00367AFE">
        <w:rPr>
          <w:rFonts w:cs="Times New Roman"/>
          <w:b/>
        </w:rPr>
        <w:t>Table II</w:t>
      </w:r>
      <w:r>
        <w:rPr>
          <w:rFonts w:cs="Times New Roman"/>
          <w:b/>
        </w:rPr>
        <w:t xml:space="preserve"> of the Final Technical Report</w:t>
      </w:r>
      <w:r w:rsidRPr="00367AFE">
        <w:rPr>
          <w:rFonts w:cs="Times New Roman"/>
          <w:b/>
        </w:rPr>
        <w:t xml:space="preserve">.  </w:t>
      </w:r>
      <w:r w:rsidRPr="00367AFE">
        <w:rPr>
          <w:rFonts w:cs="Times New Roman"/>
        </w:rPr>
        <w:t>Ratios of Columbia University Measured Air Exposures (Projected to the Birth Dates of the Babies) to Observed Maternal Blood Levels (</w:t>
      </w:r>
      <w:proofErr w:type="spellStart"/>
      <w:r w:rsidRPr="00367AFE">
        <w:rPr>
          <w:rFonts w:cs="Times New Roman"/>
        </w:rPr>
        <w:t>ng</w:t>
      </w:r>
      <w:proofErr w:type="spellEnd"/>
      <w:r w:rsidRPr="00367AFE">
        <w:rPr>
          <w:rFonts w:cs="Times New Roman"/>
        </w:rPr>
        <w:t>/kg-day per pg/g of blood)</w:t>
      </w:r>
    </w:p>
    <w:tbl>
      <w:tblPr>
        <w:tblW w:w="9360" w:type="dxa"/>
        <w:tblInd w:w="108" w:type="dxa"/>
        <w:tblBorders>
          <w:bottom w:val="single" w:sz="24" w:space="0" w:color="auto"/>
        </w:tblBorders>
        <w:tblLayout w:type="fixed"/>
        <w:tblLook w:val="0000"/>
      </w:tblPr>
      <w:tblGrid>
        <w:gridCol w:w="2960"/>
        <w:gridCol w:w="6400"/>
      </w:tblGrid>
      <w:tr w:rsidR="002500A2" w:rsidRPr="00FA3F4D" w:rsidTr="003C352E">
        <w:trPr>
          <w:trHeight w:val="20"/>
        </w:trPr>
        <w:tc>
          <w:tcPr>
            <w:tcW w:w="2960" w:type="dxa"/>
            <w:shd w:val="clear" w:color="auto" w:fill="auto"/>
            <w:noWrap/>
            <w:vAlign w:val="bottom"/>
          </w:tcPr>
          <w:p w:rsidR="002500A2" w:rsidRPr="00FA3F4D" w:rsidRDefault="002500A2" w:rsidP="003C352E">
            <w:pPr>
              <w:rPr>
                <w:rFonts w:ascii="Times New Roman" w:hAnsi="Times New Roman" w:cs="Times New Roman"/>
                <w:color w:val="000000"/>
              </w:rPr>
            </w:pPr>
          </w:p>
        </w:tc>
        <w:tc>
          <w:tcPr>
            <w:tcW w:w="6400" w:type="dxa"/>
            <w:shd w:val="clear" w:color="auto" w:fill="auto"/>
            <w:noWrap/>
            <w:vAlign w:val="bottom"/>
          </w:tcPr>
          <w:p w:rsidR="002500A2" w:rsidRPr="00FA3F4D" w:rsidRDefault="002500A2" w:rsidP="003C352E">
            <w:pPr>
              <w:rPr>
                <w:rFonts w:ascii="Times New Roman" w:hAnsi="Times New Roman" w:cs="Times New Roman"/>
                <w:color w:val="000000"/>
              </w:rPr>
            </w:pPr>
          </w:p>
        </w:tc>
      </w:tr>
      <w:tr w:rsidR="002500A2" w:rsidRPr="00FA3F4D" w:rsidTr="003C352E">
        <w:trPr>
          <w:trHeight w:val="20"/>
        </w:trPr>
        <w:tc>
          <w:tcPr>
            <w:tcW w:w="2960" w:type="dxa"/>
            <w:tcBorders>
              <w:bottom w:val="single" w:sz="6" w:space="0" w:color="auto"/>
            </w:tcBorders>
            <w:shd w:val="clear" w:color="auto" w:fill="auto"/>
            <w:noWrap/>
            <w:vAlign w:val="bottom"/>
          </w:tcPr>
          <w:p w:rsidR="002500A2" w:rsidRPr="00FA3F4D" w:rsidRDefault="002500A2" w:rsidP="003C352E">
            <w:pPr>
              <w:jc w:val="center"/>
              <w:rPr>
                <w:rFonts w:ascii="Times New Roman" w:hAnsi="Times New Roman" w:cs="Times New Roman"/>
                <w:color w:val="000000"/>
              </w:rPr>
            </w:pPr>
            <w:r w:rsidRPr="00FA3F4D">
              <w:rPr>
                <w:rFonts w:ascii="Times New Roman" w:hAnsi="Times New Roman" w:cs="Times New Roman"/>
                <w:color w:val="000000"/>
              </w:rPr>
              <w:t>Dates</w:t>
            </w:r>
          </w:p>
        </w:tc>
        <w:tc>
          <w:tcPr>
            <w:tcW w:w="6400" w:type="dxa"/>
            <w:tcBorders>
              <w:bottom w:val="single" w:sz="6" w:space="0" w:color="auto"/>
            </w:tcBorders>
            <w:shd w:val="clear" w:color="auto" w:fill="auto"/>
            <w:vAlign w:val="bottom"/>
          </w:tcPr>
          <w:p w:rsidR="002500A2" w:rsidRPr="00FA3F4D" w:rsidRDefault="002500A2" w:rsidP="003C352E">
            <w:pPr>
              <w:ind w:left="1252"/>
              <w:rPr>
                <w:rFonts w:ascii="Times New Roman" w:hAnsi="Times New Roman" w:cs="Times New Roman"/>
                <w:color w:val="000000"/>
              </w:rPr>
            </w:pPr>
            <w:r w:rsidRPr="00FA3F4D">
              <w:rPr>
                <w:rFonts w:ascii="Times New Roman" w:hAnsi="Times New Roman" w:cs="Times New Roman"/>
                <w:color w:val="000000"/>
              </w:rPr>
              <w:t xml:space="preserve">air </w:t>
            </w:r>
            <w:proofErr w:type="spellStart"/>
            <w:r w:rsidRPr="00FA3F4D">
              <w:rPr>
                <w:rFonts w:ascii="Times New Roman" w:hAnsi="Times New Roman" w:cs="Times New Roman"/>
                <w:color w:val="000000"/>
              </w:rPr>
              <w:t>ng</w:t>
            </w:r>
            <w:proofErr w:type="spellEnd"/>
            <w:r w:rsidRPr="00FA3F4D">
              <w:rPr>
                <w:rFonts w:ascii="Times New Roman" w:hAnsi="Times New Roman" w:cs="Times New Roman"/>
                <w:color w:val="000000"/>
              </w:rPr>
              <w:t xml:space="preserve">/kg-day per pg/g maternal blood </w:t>
            </w:r>
          </w:p>
        </w:tc>
      </w:tr>
      <w:tr w:rsidR="002500A2" w:rsidRPr="00FA3F4D" w:rsidTr="003C352E">
        <w:trPr>
          <w:trHeight w:val="20"/>
        </w:trPr>
        <w:tc>
          <w:tcPr>
            <w:tcW w:w="2960" w:type="dxa"/>
            <w:tcBorders>
              <w:top w:val="single" w:sz="6" w:space="0" w:color="auto"/>
              <w:bottom w:val="nil"/>
            </w:tcBorders>
            <w:shd w:val="clear" w:color="auto" w:fill="auto"/>
            <w:noWrap/>
            <w:vAlign w:val="bottom"/>
          </w:tcPr>
          <w:p w:rsidR="002500A2" w:rsidRPr="00FA3F4D" w:rsidRDefault="002500A2" w:rsidP="003C352E">
            <w:pPr>
              <w:jc w:val="center"/>
              <w:rPr>
                <w:rFonts w:ascii="Times New Roman" w:hAnsi="Times New Roman" w:cs="Times New Roman"/>
                <w:color w:val="000000"/>
              </w:rPr>
            </w:pPr>
            <w:r w:rsidRPr="00FA3F4D">
              <w:rPr>
                <w:rFonts w:ascii="Times New Roman" w:hAnsi="Times New Roman" w:cs="Times New Roman"/>
                <w:color w:val="000000"/>
              </w:rPr>
              <w:t>3/15/98-4/27/99</w:t>
            </w:r>
          </w:p>
        </w:tc>
        <w:tc>
          <w:tcPr>
            <w:tcW w:w="6400" w:type="dxa"/>
            <w:tcBorders>
              <w:top w:val="single" w:sz="6" w:space="0" w:color="auto"/>
              <w:bottom w:val="nil"/>
            </w:tcBorders>
            <w:shd w:val="clear" w:color="auto" w:fill="auto"/>
            <w:noWrap/>
            <w:vAlign w:val="bottom"/>
          </w:tcPr>
          <w:p w:rsidR="002500A2" w:rsidRPr="00FA3F4D" w:rsidRDefault="002500A2" w:rsidP="003C352E">
            <w:pPr>
              <w:jc w:val="center"/>
              <w:rPr>
                <w:rFonts w:ascii="Times New Roman" w:hAnsi="Times New Roman" w:cs="Times New Roman"/>
                <w:color w:val="000000"/>
              </w:rPr>
            </w:pPr>
            <w:r w:rsidRPr="00FA3F4D">
              <w:rPr>
                <w:rFonts w:ascii="Times New Roman" w:hAnsi="Times New Roman" w:cs="Times New Roman"/>
                <w:color w:val="000000"/>
              </w:rPr>
              <w:t>0.69</w:t>
            </w:r>
          </w:p>
        </w:tc>
      </w:tr>
      <w:tr w:rsidR="002500A2" w:rsidRPr="00FA3F4D" w:rsidTr="003C352E">
        <w:trPr>
          <w:trHeight w:val="20"/>
        </w:trPr>
        <w:tc>
          <w:tcPr>
            <w:tcW w:w="2960" w:type="dxa"/>
            <w:tcBorders>
              <w:top w:val="nil"/>
            </w:tcBorders>
            <w:shd w:val="clear" w:color="auto" w:fill="auto"/>
            <w:noWrap/>
            <w:vAlign w:val="bottom"/>
          </w:tcPr>
          <w:p w:rsidR="002500A2" w:rsidRPr="00FA3F4D" w:rsidRDefault="002500A2" w:rsidP="003C352E">
            <w:pPr>
              <w:jc w:val="center"/>
              <w:rPr>
                <w:rFonts w:ascii="Times New Roman" w:hAnsi="Times New Roman" w:cs="Times New Roman"/>
                <w:color w:val="000000"/>
              </w:rPr>
            </w:pPr>
            <w:r w:rsidRPr="00FA3F4D">
              <w:rPr>
                <w:rFonts w:ascii="Times New Roman" w:hAnsi="Times New Roman" w:cs="Times New Roman"/>
                <w:color w:val="000000"/>
              </w:rPr>
              <w:t>4/28/99-4/27/00</w:t>
            </w:r>
          </w:p>
        </w:tc>
        <w:tc>
          <w:tcPr>
            <w:tcW w:w="6400" w:type="dxa"/>
            <w:tcBorders>
              <w:top w:val="nil"/>
            </w:tcBorders>
            <w:shd w:val="clear" w:color="auto" w:fill="auto"/>
            <w:noWrap/>
            <w:vAlign w:val="bottom"/>
          </w:tcPr>
          <w:p w:rsidR="002500A2" w:rsidRPr="00FA3F4D" w:rsidRDefault="002500A2" w:rsidP="003C352E">
            <w:pPr>
              <w:jc w:val="center"/>
              <w:rPr>
                <w:rFonts w:ascii="Times New Roman" w:hAnsi="Times New Roman" w:cs="Times New Roman"/>
                <w:color w:val="000000"/>
              </w:rPr>
            </w:pPr>
            <w:r w:rsidRPr="00FA3F4D">
              <w:rPr>
                <w:rFonts w:ascii="Times New Roman" w:hAnsi="Times New Roman" w:cs="Times New Roman"/>
                <w:color w:val="000000"/>
              </w:rPr>
              <w:t>0.43</w:t>
            </w:r>
          </w:p>
        </w:tc>
      </w:tr>
      <w:tr w:rsidR="002500A2" w:rsidRPr="00FA3F4D" w:rsidTr="003C352E">
        <w:trPr>
          <w:trHeight w:val="20"/>
        </w:trPr>
        <w:tc>
          <w:tcPr>
            <w:tcW w:w="2960" w:type="dxa"/>
            <w:shd w:val="clear" w:color="auto" w:fill="auto"/>
            <w:noWrap/>
            <w:vAlign w:val="bottom"/>
          </w:tcPr>
          <w:p w:rsidR="002500A2" w:rsidRPr="00FA3F4D" w:rsidRDefault="002500A2" w:rsidP="003C352E">
            <w:pPr>
              <w:jc w:val="center"/>
              <w:rPr>
                <w:rFonts w:ascii="Times New Roman" w:hAnsi="Times New Roman" w:cs="Times New Roman"/>
                <w:color w:val="000000"/>
              </w:rPr>
            </w:pPr>
            <w:r w:rsidRPr="00FA3F4D">
              <w:rPr>
                <w:rFonts w:ascii="Times New Roman" w:hAnsi="Times New Roman" w:cs="Times New Roman"/>
                <w:color w:val="000000"/>
              </w:rPr>
              <w:t>4/28/00-4/27/01</w:t>
            </w:r>
          </w:p>
        </w:tc>
        <w:tc>
          <w:tcPr>
            <w:tcW w:w="6400" w:type="dxa"/>
            <w:shd w:val="clear" w:color="auto" w:fill="auto"/>
            <w:noWrap/>
            <w:vAlign w:val="bottom"/>
          </w:tcPr>
          <w:p w:rsidR="002500A2" w:rsidRPr="00FA3F4D" w:rsidRDefault="002500A2" w:rsidP="003C352E">
            <w:pPr>
              <w:jc w:val="center"/>
              <w:rPr>
                <w:rFonts w:ascii="Times New Roman" w:hAnsi="Times New Roman" w:cs="Times New Roman"/>
                <w:color w:val="000000"/>
              </w:rPr>
            </w:pPr>
            <w:r w:rsidRPr="00FA3F4D">
              <w:rPr>
                <w:rFonts w:ascii="Times New Roman" w:hAnsi="Times New Roman" w:cs="Times New Roman"/>
                <w:color w:val="000000"/>
              </w:rPr>
              <w:t>0.78</w:t>
            </w:r>
          </w:p>
        </w:tc>
      </w:tr>
      <w:tr w:rsidR="002500A2" w:rsidRPr="00FA3F4D" w:rsidTr="003C352E">
        <w:trPr>
          <w:trHeight w:val="20"/>
        </w:trPr>
        <w:tc>
          <w:tcPr>
            <w:tcW w:w="2960" w:type="dxa"/>
            <w:shd w:val="clear" w:color="auto" w:fill="auto"/>
            <w:noWrap/>
            <w:vAlign w:val="bottom"/>
          </w:tcPr>
          <w:p w:rsidR="002500A2" w:rsidRPr="00FA3F4D" w:rsidRDefault="002500A2" w:rsidP="003C352E">
            <w:pPr>
              <w:jc w:val="center"/>
              <w:rPr>
                <w:rFonts w:ascii="Times New Roman" w:hAnsi="Times New Roman" w:cs="Times New Roman"/>
                <w:color w:val="000000"/>
              </w:rPr>
            </w:pPr>
            <w:r w:rsidRPr="00FA3F4D">
              <w:rPr>
                <w:rFonts w:ascii="Times New Roman" w:hAnsi="Times New Roman" w:cs="Times New Roman"/>
                <w:color w:val="000000"/>
              </w:rPr>
              <w:t>4/28/01-4/27/02</w:t>
            </w:r>
          </w:p>
        </w:tc>
        <w:tc>
          <w:tcPr>
            <w:tcW w:w="6400" w:type="dxa"/>
            <w:shd w:val="clear" w:color="auto" w:fill="auto"/>
            <w:noWrap/>
            <w:vAlign w:val="bottom"/>
          </w:tcPr>
          <w:p w:rsidR="002500A2" w:rsidRPr="00FA3F4D" w:rsidRDefault="002500A2" w:rsidP="003C352E">
            <w:pPr>
              <w:jc w:val="center"/>
              <w:rPr>
                <w:rFonts w:ascii="Times New Roman" w:hAnsi="Times New Roman" w:cs="Times New Roman"/>
                <w:color w:val="000000"/>
              </w:rPr>
            </w:pPr>
            <w:r w:rsidRPr="00FA3F4D">
              <w:rPr>
                <w:rFonts w:ascii="Times New Roman" w:hAnsi="Times New Roman" w:cs="Times New Roman"/>
                <w:color w:val="000000"/>
              </w:rPr>
              <w:t>2.85</w:t>
            </w:r>
          </w:p>
        </w:tc>
      </w:tr>
      <w:tr w:rsidR="002500A2" w:rsidRPr="00FA3F4D" w:rsidTr="003C352E">
        <w:trPr>
          <w:trHeight w:val="20"/>
        </w:trPr>
        <w:tc>
          <w:tcPr>
            <w:tcW w:w="2960" w:type="dxa"/>
            <w:shd w:val="clear" w:color="auto" w:fill="auto"/>
            <w:noWrap/>
            <w:vAlign w:val="bottom"/>
          </w:tcPr>
          <w:p w:rsidR="002500A2" w:rsidRPr="00FA3F4D" w:rsidRDefault="002500A2" w:rsidP="003C352E">
            <w:pPr>
              <w:jc w:val="center"/>
              <w:rPr>
                <w:rFonts w:ascii="Times New Roman" w:hAnsi="Times New Roman" w:cs="Times New Roman"/>
                <w:color w:val="000000"/>
              </w:rPr>
            </w:pPr>
            <w:r w:rsidRPr="00FA3F4D">
              <w:rPr>
                <w:rFonts w:ascii="Times New Roman" w:hAnsi="Times New Roman" w:cs="Times New Roman"/>
                <w:color w:val="000000"/>
              </w:rPr>
              <w:t>4/28/02-4/27/03</w:t>
            </w:r>
          </w:p>
        </w:tc>
        <w:tc>
          <w:tcPr>
            <w:tcW w:w="6400" w:type="dxa"/>
            <w:shd w:val="clear" w:color="auto" w:fill="auto"/>
            <w:noWrap/>
            <w:vAlign w:val="bottom"/>
          </w:tcPr>
          <w:p w:rsidR="002500A2" w:rsidRPr="00FA3F4D" w:rsidRDefault="002500A2" w:rsidP="003C352E">
            <w:pPr>
              <w:jc w:val="center"/>
              <w:rPr>
                <w:rFonts w:ascii="Times New Roman" w:hAnsi="Times New Roman" w:cs="Times New Roman"/>
                <w:color w:val="000000"/>
              </w:rPr>
            </w:pPr>
            <w:r w:rsidRPr="00FA3F4D">
              <w:rPr>
                <w:rFonts w:ascii="Times New Roman" w:hAnsi="Times New Roman" w:cs="Times New Roman"/>
                <w:color w:val="000000"/>
              </w:rPr>
              <w:t>4.45</w:t>
            </w:r>
          </w:p>
        </w:tc>
      </w:tr>
      <w:tr w:rsidR="002500A2" w:rsidRPr="00FA3F4D" w:rsidTr="003C352E">
        <w:trPr>
          <w:trHeight w:val="20"/>
        </w:trPr>
        <w:tc>
          <w:tcPr>
            <w:tcW w:w="2960" w:type="dxa"/>
            <w:shd w:val="clear" w:color="auto" w:fill="auto"/>
            <w:noWrap/>
            <w:vAlign w:val="bottom"/>
          </w:tcPr>
          <w:p w:rsidR="002500A2" w:rsidRPr="00FA3F4D" w:rsidRDefault="002500A2" w:rsidP="003C352E">
            <w:pPr>
              <w:jc w:val="center"/>
              <w:rPr>
                <w:rFonts w:ascii="Times New Roman" w:hAnsi="Times New Roman" w:cs="Times New Roman"/>
                <w:color w:val="000000"/>
              </w:rPr>
            </w:pPr>
            <w:r w:rsidRPr="00FA3F4D">
              <w:rPr>
                <w:rFonts w:ascii="Times New Roman" w:hAnsi="Times New Roman" w:cs="Times New Roman"/>
                <w:color w:val="000000"/>
              </w:rPr>
              <w:t>4/28/03-6/27/04</w:t>
            </w:r>
          </w:p>
        </w:tc>
        <w:tc>
          <w:tcPr>
            <w:tcW w:w="6400" w:type="dxa"/>
            <w:shd w:val="clear" w:color="auto" w:fill="auto"/>
            <w:noWrap/>
            <w:vAlign w:val="bottom"/>
          </w:tcPr>
          <w:p w:rsidR="002500A2" w:rsidRPr="00FA3F4D" w:rsidRDefault="002500A2" w:rsidP="003C352E">
            <w:pPr>
              <w:jc w:val="center"/>
              <w:rPr>
                <w:rFonts w:ascii="Times New Roman" w:hAnsi="Times New Roman" w:cs="Times New Roman"/>
                <w:color w:val="000000"/>
              </w:rPr>
            </w:pPr>
            <w:r w:rsidRPr="00FA3F4D">
              <w:rPr>
                <w:rFonts w:ascii="Times New Roman" w:hAnsi="Times New Roman" w:cs="Times New Roman"/>
                <w:color w:val="000000"/>
              </w:rPr>
              <w:t>10.13</w:t>
            </w:r>
          </w:p>
        </w:tc>
      </w:tr>
      <w:tr w:rsidR="002500A2" w:rsidRPr="00FA3F4D" w:rsidTr="003C352E">
        <w:trPr>
          <w:trHeight w:val="20"/>
        </w:trPr>
        <w:tc>
          <w:tcPr>
            <w:tcW w:w="2960" w:type="dxa"/>
            <w:shd w:val="clear" w:color="auto" w:fill="auto"/>
            <w:noWrap/>
            <w:vAlign w:val="bottom"/>
          </w:tcPr>
          <w:p w:rsidR="002500A2" w:rsidRPr="00FA3F4D" w:rsidRDefault="002500A2" w:rsidP="003C352E">
            <w:pPr>
              <w:jc w:val="center"/>
              <w:rPr>
                <w:rFonts w:ascii="Times New Roman" w:hAnsi="Times New Roman" w:cs="Times New Roman"/>
                <w:color w:val="000000"/>
              </w:rPr>
            </w:pPr>
            <w:r w:rsidRPr="00FA3F4D">
              <w:rPr>
                <w:rFonts w:ascii="Times New Roman" w:hAnsi="Times New Roman" w:cs="Times New Roman"/>
                <w:color w:val="000000"/>
              </w:rPr>
              <w:t>1998-4/27/2001 Average</w:t>
            </w:r>
          </w:p>
        </w:tc>
        <w:tc>
          <w:tcPr>
            <w:tcW w:w="6400" w:type="dxa"/>
            <w:shd w:val="clear" w:color="auto" w:fill="auto"/>
            <w:noWrap/>
            <w:vAlign w:val="bottom"/>
          </w:tcPr>
          <w:p w:rsidR="002500A2" w:rsidRPr="00FA3F4D" w:rsidRDefault="002500A2" w:rsidP="003C352E">
            <w:pPr>
              <w:jc w:val="center"/>
              <w:rPr>
                <w:rFonts w:ascii="Times New Roman" w:hAnsi="Times New Roman" w:cs="Times New Roman"/>
                <w:b/>
                <w:color w:val="000000"/>
                <w:vertAlign w:val="superscript"/>
              </w:rPr>
            </w:pPr>
            <w:r w:rsidRPr="00FA3F4D">
              <w:rPr>
                <w:rFonts w:ascii="Times New Roman" w:hAnsi="Times New Roman" w:cs="Times New Roman"/>
                <w:b/>
                <w:color w:val="000000"/>
              </w:rPr>
              <w:t>0.56</w:t>
            </w:r>
            <w:r w:rsidRPr="00FA3F4D">
              <w:rPr>
                <w:rFonts w:ascii="Times New Roman" w:hAnsi="Times New Roman" w:cs="Times New Roman"/>
                <w:b/>
                <w:color w:val="000000"/>
                <w:vertAlign w:val="superscript"/>
              </w:rPr>
              <w:t>a</w:t>
            </w:r>
          </w:p>
        </w:tc>
      </w:tr>
      <w:tr w:rsidR="002500A2" w:rsidRPr="00FA3F4D" w:rsidTr="003C352E">
        <w:trPr>
          <w:trHeight w:val="20"/>
        </w:trPr>
        <w:tc>
          <w:tcPr>
            <w:tcW w:w="2960" w:type="dxa"/>
            <w:shd w:val="clear" w:color="auto" w:fill="auto"/>
            <w:noWrap/>
            <w:vAlign w:val="bottom"/>
          </w:tcPr>
          <w:p w:rsidR="002500A2" w:rsidRPr="00FA3F4D" w:rsidRDefault="002500A2" w:rsidP="003C352E">
            <w:pPr>
              <w:jc w:val="center"/>
              <w:rPr>
                <w:rFonts w:ascii="Times New Roman" w:hAnsi="Times New Roman" w:cs="Times New Roman"/>
                <w:color w:val="000000"/>
              </w:rPr>
            </w:pPr>
            <w:r w:rsidRPr="00FA3F4D">
              <w:rPr>
                <w:rFonts w:ascii="Times New Roman" w:hAnsi="Times New Roman" w:cs="Times New Roman"/>
                <w:color w:val="000000"/>
              </w:rPr>
              <w:t>All Years Average</w:t>
            </w:r>
          </w:p>
        </w:tc>
        <w:tc>
          <w:tcPr>
            <w:tcW w:w="6400" w:type="dxa"/>
            <w:shd w:val="clear" w:color="auto" w:fill="auto"/>
            <w:noWrap/>
            <w:vAlign w:val="bottom"/>
          </w:tcPr>
          <w:p w:rsidR="002500A2" w:rsidRPr="00FA3F4D" w:rsidRDefault="002500A2" w:rsidP="003C352E">
            <w:pPr>
              <w:jc w:val="center"/>
              <w:rPr>
                <w:rFonts w:ascii="Times New Roman" w:hAnsi="Times New Roman" w:cs="Times New Roman"/>
                <w:color w:val="000000"/>
              </w:rPr>
            </w:pPr>
            <w:r w:rsidRPr="00FA3F4D">
              <w:rPr>
                <w:rFonts w:ascii="Times New Roman" w:hAnsi="Times New Roman" w:cs="Times New Roman"/>
                <w:color w:val="000000"/>
              </w:rPr>
              <w:t>0.83</w:t>
            </w:r>
          </w:p>
        </w:tc>
      </w:tr>
    </w:tbl>
    <w:p w:rsidR="002500A2" w:rsidRPr="00857941" w:rsidRDefault="002500A2" w:rsidP="002500A2">
      <w:pPr>
        <w:pStyle w:val="Body2"/>
        <w:rPr>
          <w:sz w:val="20"/>
          <w:szCs w:val="20"/>
        </w:rPr>
      </w:pPr>
      <w:proofErr w:type="spellStart"/>
      <w:proofErr w:type="gramStart"/>
      <w:r w:rsidRPr="00367AFE">
        <w:rPr>
          <w:rFonts w:cs="Times New Roman"/>
          <w:b/>
          <w:color w:val="000000"/>
          <w:sz w:val="28"/>
          <w:szCs w:val="28"/>
          <w:vertAlign w:val="superscript"/>
        </w:rPr>
        <w:t>a</w:t>
      </w:r>
      <w:r>
        <w:rPr>
          <w:rFonts w:cs="Times New Roman"/>
          <w:color w:val="000000"/>
          <w:sz w:val="20"/>
          <w:szCs w:val="20"/>
        </w:rPr>
        <w:t>This</w:t>
      </w:r>
      <w:proofErr w:type="spellEnd"/>
      <w:proofErr w:type="gramEnd"/>
      <w:r>
        <w:rPr>
          <w:rFonts w:cs="Times New Roman"/>
          <w:color w:val="000000"/>
          <w:sz w:val="20"/>
          <w:szCs w:val="20"/>
        </w:rPr>
        <w:t xml:space="preserve"> bolded value, for years when non-detects did not appreciably complicate estimation of the blood levels, </w:t>
      </w:r>
      <w:r>
        <w:rPr>
          <w:sz w:val="20"/>
          <w:szCs w:val="20"/>
        </w:rPr>
        <w:t>was chosen as an initial lower bound for the inhalation dose/blood level ratio.  However l</w:t>
      </w:r>
      <w:r>
        <w:rPr>
          <w:rFonts w:cs="Times New Roman"/>
          <w:color w:val="000000"/>
          <w:sz w:val="20"/>
          <w:szCs w:val="20"/>
        </w:rPr>
        <w:t xml:space="preserve">ater PBPK modeling established that dose/blood level ratios could not be as low as this.  </w:t>
      </w:r>
      <w:r w:rsidRPr="00857941">
        <w:rPr>
          <w:sz w:val="20"/>
          <w:szCs w:val="20"/>
        </w:rPr>
        <w:t xml:space="preserve">Even with zero </w:t>
      </w:r>
      <w:proofErr w:type="spellStart"/>
      <w:r w:rsidRPr="00857941">
        <w:rPr>
          <w:sz w:val="20"/>
          <w:szCs w:val="20"/>
        </w:rPr>
        <w:t>chlorpyrifos</w:t>
      </w:r>
      <w:proofErr w:type="spellEnd"/>
      <w:r w:rsidRPr="00857941">
        <w:rPr>
          <w:sz w:val="20"/>
          <w:szCs w:val="20"/>
        </w:rPr>
        <w:t xml:space="preserve"> metabolism rates, both the ingestion and inhalation models with baseline partition coefficients yielded minimum dose/blood level ratios of at least 1.92 </w:t>
      </w:r>
      <w:proofErr w:type="spellStart"/>
      <w:r w:rsidRPr="00857941">
        <w:rPr>
          <w:sz w:val="20"/>
          <w:szCs w:val="20"/>
        </w:rPr>
        <w:t>ng</w:t>
      </w:r>
      <w:proofErr w:type="spellEnd"/>
      <w:r w:rsidRPr="00857941">
        <w:rPr>
          <w:sz w:val="20"/>
          <w:szCs w:val="20"/>
        </w:rPr>
        <w:t xml:space="preserve">/kg-day/pg/g blood.  With tissue/blood partition coefficients corresponding to 2 standard deviations below the inferred central estimate calculated from Lowe et al, (that is, a fat/blood partition coefficient of 94), a </w:t>
      </w:r>
      <w:r>
        <w:rPr>
          <w:sz w:val="20"/>
          <w:szCs w:val="20"/>
        </w:rPr>
        <w:t>z</w:t>
      </w:r>
      <w:r w:rsidRPr="00857941">
        <w:rPr>
          <w:sz w:val="20"/>
          <w:szCs w:val="20"/>
        </w:rPr>
        <w:t>ero metabolism rate would yield a</w:t>
      </w:r>
      <w:r>
        <w:rPr>
          <w:sz w:val="20"/>
          <w:szCs w:val="20"/>
        </w:rPr>
        <w:t>n inhalation</w:t>
      </w:r>
      <w:r w:rsidRPr="00857941">
        <w:rPr>
          <w:sz w:val="20"/>
          <w:szCs w:val="20"/>
        </w:rPr>
        <w:t xml:space="preserve"> dose/blood level ratio of 1.59 </w:t>
      </w:r>
      <w:proofErr w:type="spellStart"/>
      <w:r w:rsidRPr="00857941">
        <w:rPr>
          <w:sz w:val="20"/>
          <w:szCs w:val="20"/>
        </w:rPr>
        <w:t>ng</w:t>
      </w:r>
      <w:proofErr w:type="spellEnd"/>
      <w:r w:rsidRPr="00857941">
        <w:rPr>
          <w:sz w:val="20"/>
          <w:szCs w:val="20"/>
        </w:rPr>
        <w:t>/kg-day/pg/</w:t>
      </w:r>
      <w:r>
        <w:rPr>
          <w:sz w:val="20"/>
          <w:szCs w:val="20"/>
        </w:rPr>
        <w:t>g blood. Because of this, we ch</w:t>
      </w:r>
      <w:r w:rsidRPr="00857941">
        <w:rPr>
          <w:sz w:val="20"/>
          <w:szCs w:val="20"/>
        </w:rPr>
        <w:t xml:space="preserve">ose to revise the lower bound </w:t>
      </w:r>
      <w:r>
        <w:rPr>
          <w:sz w:val="20"/>
          <w:szCs w:val="20"/>
        </w:rPr>
        <w:t xml:space="preserve">of the inhalation dose/blood level ratio </w:t>
      </w:r>
      <w:r w:rsidRPr="00857941">
        <w:rPr>
          <w:sz w:val="20"/>
          <w:szCs w:val="20"/>
        </w:rPr>
        <w:t xml:space="preserve">for our “bounding” calculation to 1.59 </w:t>
      </w:r>
      <w:proofErr w:type="spellStart"/>
      <w:r w:rsidRPr="00857941">
        <w:rPr>
          <w:sz w:val="20"/>
          <w:szCs w:val="20"/>
        </w:rPr>
        <w:t>ng</w:t>
      </w:r>
      <w:proofErr w:type="spellEnd"/>
      <w:r w:rsidRPr="00857941">
        <w:rPr>
          <w:sz w:val="20"/>
          <w:szCs w:val="20"/>
        </w:rPr>
        <w:t>/kg-day/(pg/g blood)</w:t>
      </w:r>
      <w:r>
        <w:rPr>
          <w:sz w:val="20"/>
          <w:szCs w:val="20"/>
        </w:rPr>
        <w:t xml:space="preserve">. </w:t>
      </w:r>
    </w:p>
    <w:p w:rsidR="002500A2" w:rsidRPr="00857941" w:rsidRDefault="002500A2" w:rsidP="002500A2">
      <w:pPr>
        <w:pStyle w:val="Body"/>
        <w:rPr>
          <w:sz w:val="20"/>
          <w:szCs w:val="20"/>
        </w:rPr>
      </w:pPr>
    </w:p>
    <w:p w:rsidR="002500A2" w:rsidRDefault="002500A2">
      <w:r>
        <w:br w:type="page"/>
      </w:r>
    </w:p>
    <w:p w:rsidR="002500A2" w:rsidRPr="00FF433F" w:rsidRDefault="002500A2" w:rsidP="002500A2">
      <w:pPr>
        <w:jc w:val="center"/>
        <w:rPr>
          <w:rFonts w:ascii="Times New Roman" w:hAnsi="Times New Roman"/>
          <w:b/>
        </w:rPr>
      </w:pPr>
      <w:r>
        <w:rPr>
          <w:b/>
        </w:rPr>
        <w:lastRenderedPageBreak/>
        <w:t>Table S2—Corresponds to Table III of the final technical report</w:t>
      </w:r>
      <w:r w:rsidRPr="00974F15">
        <w:rPr>
          <w:b/>
        </w:rPr>
        <w:t>.</w:t>
      </w:r>
      <w:r>
        <w:rPr>
          <w:b/>
        </w:rPr>
        <w:t xml:space="preserve"> </w:t>
      </w:r>
      <w:r>
        <w:t xml:space="preserve">Upper Bound Estimates of the </w:t>
      </w:r>
      <w:proofErr w:type="spellStart"/>
      <w:r>
        <w:t>Chlorpyrifos</w:t>
      </w:r>
      <w:proofErr w:type="spellEnd"/>
      <w:r>
        <w:t xml:space="preserve"> Dose/Blood Level Based on Urinary </w:t>
      </w:r>
      <w:proofErr w:type="spellStart"/>
      <w:r>
        <w:t>TCPy</w:t>
      </w:r>
      <w:proofErr w:type="spellEnd"/>
      <w:r>
        <w:t xml:space="preserve"> Excretion</w:t>
      </w:r>
    </w:p>
    <w:tbl>
      <w:tblPr>
        <w:tblW w:w="9180" w:type="dxa"/>
        <w:tblInd w:w="108" w:type="dxa"/>
        <w:tblBorders>
          <w:top w:val="single" w:sz="24" w:space="0" w:color="auto"/>
          <w:bottom w:val="single" w:sz="24" w:space="0" w:color="auto"/>
        </w:tblBorders>
        <w:tblLayout w:type="fixed"/>
        <w:tblLook w:val="0000"/>
      </w:tblPr>
      <w:tblGrid>
        <w:gridCol w:w="1890"/>
        <w:gridCol w:w="2160"/>
        <w:gridCol w:w="2340"/>
        <w:gridCol w:w="2790"/>
      </w:tblGrid>
      <w:tr w:rsidR="002500A2" w:rsidRPr="00CB475A" w:rsidTr="003C352E">
        <w:trPr>
          <w:trHeight w:val="20"/>
        </w:trPr>
        <w:tc>
          <w:tcPr>
            <w:tcW w:w="1890" w:type="dxa"/>
            <w:tcBorders>
              <w:bottom w:val="single" w:sz="6" w:space="0" w:color="auto"/>
            </w:tcBorders>
            <w:shd w:val="clear" w:color="auto" w:fill="auto"/>
            <w:vAlign w:val="bottom"/>
          </w:tcPr>
          <w:p w:rsidR="002500A2" w:rsidRPr="00CB475A" w:rsidRDefault="002500A2" w:rsidP="003C352E">
            <w:pPr>
              <w:jc w:val="center"/>
              <w:rPr>
                <w:rFonts w:ascii="Times New Roman" w:hAnsi="Times New Roman"/>
                <w:sz w:val="20"/>
                <w:szCs w:val="20"/>
              </w:rPr>
            </w:pPr>
            <w:r w:rsidRPr="00CB475A">
              <w:rPr>
                <w:rFonts w:ascii="Times New Roman" w:hAnsi="Times New Roman"/>
                <w:sz w:val="20"/>
                <w:szCs w:val="20"/>
              </w:rPr>
              <w:t>Time Period</w:t>
            </w:r>
          </w:p>
        </w:tc>
        <w:tc>
          <w:tcPr>
            <w:tcW w:w="2160" w:type="dxa"/>
            <w:tcBorders>
              <w:bottom w:val="single" w:sz="6" w:space="0" w:color="auto"/>
            </w:tcBorders>
            <w:shd w:val="clear" w:color="auto" w:fill="auto"/>
            <w:vAlign w:val="bottom"/>
          </w:tcPr>
          <w:p w:rsidR="002500A2" w:rsidRPr="00CB475A" w:rsidRDefault="002500A2" w:rsidP="003C352E">
            <w:pPr>
              <w:rPr>
                <w:rFonts w:ascii="Times New Roman" w:hAnsi="Times New Roman"/>
                <w:sz w:val="20"/>
                <w:szCs w:val="20"/>
              </w:rPr>
            </w:pPr>
            <w:proofErr w:type="spellStart"/>
            <w:r w:rsidRPr="00CB475A">
              <w:rPr>
                <w:rFonts w:ascii="Times New Roman" w:hAnsi="Times New Roman"/>
                <w:sz w:val="20"/>
                <w:szCs w:val="20"/>
              </w:rPr>
              <w:t>ng</w:t>
            </w:r>
            <w:proofErr w:type="spellEnd"/>
            <w:r w:rsidRPr="00CB475A">
              <w:rPr>
                <w:rFonts w:ascii="Times New Roman" w:hAnsi="Times New Roman"/>
                <w:sz w:val="20"/>
                <w:szCs w:val="20"/>
              </w:rPr>
              <w:t>/kg-day per pg/g maternal</w:t>
            </w:r>
            <w:r>
              <w:rPr>
                <w:rFonts w:ascii="Times New Roman" w:hAnsi="Times New Roman"/>
                <w:sz w:val="20"/>
                <w:szCs w:val="20"/>
              </w:rPr>
              <w:t xml:space="preserve"> blood from volume-adjusted </w:t>
            </w:r>
            <w:proofErr w:type="spellStart"/>
            <w:r>
              <w:rPr>
                <w:rFonts w:ascii="Times New Roman" w:hAnsi="Times New Roman"/>
                <w:sz w:val="20"/>
                <w:szCs w:val="20"/>
              </w:rPr>
              <w:t>TCPy</w:t>
            </w:r>
            <w:proofErr w:type="spellEnd"/>
            <w:r w:rsidRPr="00CB475A">
              <w:rPr>
                <w:rFonts w:ascii="Times New Roman" w:hAnsi="Times New Roman"/>
                <w:sz w:val="20"/>
                <w:szCs w:val="20"/>
              </w:rPr>
              <w:t xml:space="preserve"> excretion</w:t>
            </w:r>
            <w:r>
              <w:rPr>
                <w:rFonts w:ascii="Calibri" w:hAnsi="Calibri"/>
                <w:color w:val="000000"/>
                <w:sz w:val="32"/>
                <w:szCs w:val="32"/>
                <w:vertAlign w:val="superscript"/>
              </w:rPr>
              <w:t xml:space="preserve"> </w:t>
            </w:r>
            <w:r w:rsidRPr="00741E87">
              <w:rPr>
                <w:rFonts w:ascii="Calibri" w:hAnsi="Calibri"/>
                <w:color w:val="000000"/>
                <w:sz w:val="20"/>
                <w:szCs w:val="20"/>
                <w:vertAlign w:val="superscript"/>
              </w:rPr>
              <w:t>b</w:t>
            </w:r>
          </w:p>
        </w:tc>
        <w:tc>
          <w:tcPr>
            <w:tcW w:w="2340" w:type="dxa"/>
            <w:tcBorders>
              <w:bottom w:val="single" w:sz="6" w:space="0" w:color="auto"/>
            </w:tcBorders>
            <w:shd w:val="clear" w:color="auto" w:fill="auto"/>
            <w:vAlign w:val="bottom"/>
          </w:tcPr>
          <w:p w:rsidR="002500A2" w:rsidRPr="00CB475A" w:rsidRDefault="002500A2" w:rsidP="003C352E">
            <w:pPr>
              <w:rPr>
                <w:rFonts w:ascii="Times New Roman" w:hAnsi="Times New Roman"/>
                <w:sz w:val="20"/>
                <w:szCs w:val="20"/>
              </w:rPr>
            </w:pPr>
            <w:proofErr w:type="spellStart"/>
            <w:r w:rsidRPr="00CB475A">
              <w:rPr>
                <w:rFonts w:ascii="Times New Roman" w:hAnsi="Times New Roman"/>
                <w:sz w:val="20"/>
                <w:szCs w:val="20"/>
              </w:rPr>
              <w:t>ng</w:t>
            </w:r>
            <w:proofErr w:type="spellEnd"/>
            <w:r w:rsidRPr="00CB475A">
              <w:rPr>
                <w:rFonts w:ascii="Times New Roman" w:hAnsi="Times New Roman"/>
                <w:sz w:val="20"/>
                <w:szCs w:val="20"/>
              </w:rPr>
              <w:t>/kg-day per pg/g maternal blo</w:t>
            </w:r>
            <w:r>
              <w:rPr>
                <w:rFonts w:ascii="Times New Roman" w:hAnsi="Times New Roman"/>
                <w:sz w:val="20"/>
                <w:szCs w:val="20"/>
              </w:rPr>
              <w:t xml:space="preserve">od from </w:t>
            </w:r>
            <w:proofErr w:type="spellStart"/>
            <w:r>
              <w:rPr>
                <w:rFonts w:ascii="Times New Roman" w:hAnsi="Times New Roman"/>
                <w:sz w:val="20"/>
                <w:szCs w:val="20"/>
              </w:rPr>
              <w:t>creatinine</w:t>
            </w:r>
            <w:proofErr w:type="spellEnd"/>
            <w:r>
              <w:rPr>
                <w:rFonts w:ascii="Times New Roman" w:hAnsi="Times New Roman"/>
                <w:sz w:val="20"/>
                <w:szCs w:val="20"/>
              </w:rPr>
              <w:t xml:space="preserve">-adjusted </w:t>
            </w:r>
            <w:proofErr w:type="spellStart"/>
            <w:r>
              <w:rPr>
                <w:rFonts w:ascii="Times New Roman" w:hAnsi="Times New Roman"/>
                <w:sz w:val="20"/>
                <w:szCs w:val="20"/>
              </w:rPr>
              <w:t>TCPy</w:t>
            </w:r>
            <w:proofErr w:type="spellEnd"/>
            <w:r w:rsidRPr="00CB475A">
              <w:rPr>
                <w:rFonts w:ascii="Times New Roman" w:hAnsi="Times New Roman"/>
                <w:sz w:val="20"/>
                <w:szCs w:val="20"/>
              </w:rPr>
              <w:t xml:space="preserve"> excretion</w:t>
            </w:r>
            <w:r>
              <w:rPr>
                <w:rFonts w:ascii="Calibri" w:hAnsi="Calibri"/>
                <w:color w:val="000000"/>
                <w:sz w:val="32"/>
                <w:szCs w:val="32"/>
                <w:vertAlign w:val="superscript"/>
              </w:rPr>
              <w:t xml:space="preserve"> </w:t>
            </w:r>
            <w:r w:rsidRPr="00741E87">
              <w:rPr>
                <w:rFonts w:ascii="Calibri" w:hAnsi="Calibri"/>
                <w:color w:val="000000"/>
                <w:sz w:val="20"/>
                <w:szCs w:val="20"/>
                <w:vertAlign w:val="superscript"/>
              </w:rPr>
              <w:t>b</w:t>
            </w:r>
          </w:p>
        </w:tc>
        <w:tc>
          <w:tcPr>
            <w:tcW w:w="2790" w:type="dxa"/>
            <w:tcBorders>
              <w:bottom w:val="single" w:sz="6" w:space="0" w:color="auto"/>
            </w:tcBorders>
            <w:shd w:val="clear" w:color="auto" w:fill="auto"/>
            <w:vAlign w:val="bottom"/>
          </w:tcPr>
          <w:p w:rsidR="002500A2" w:rsidRPr="00CB475A" w:rsidRDefault="002500A2" w:rsidP="003C352E">
            <w:pPr>
              <w:rPr>
                <w:rFonts w:ascii="Times New Roman" w:hAnsi="Times New Roman"/>
                <w:sz w:val="20"/>
                <w:szCs w:val="20"/>
              </w:rPr>
            </w:pPr>
            <w:proofErr w:type="spellStart"/>
            <w:r w:rsidRPr="00CB475A">
              <w:rPr>
                <w:rFonts w:ascii="Times New Roman" w:hAnsi="Times New Roman"/>
                <w:sz w:val="20"/>
                <w:szCs w:val="20"/>
              </w:rPr>
              <w:t>ng</w:t>
            </w:r>
            <w:proofErr w:type="spellEnd"/>
            <w:r w:rsidRPr="00CB475A">
              <w:rPr>
                <w:rFonts w:ascii="Times New Roman" w:hAnsi="Times New Roman"/>
                <w:sz w:val="20"/>
                <w:szCs w:val="20"/>
              </w:rPr>
              <w:t>/kg-day per pg/g maternal blood from average of volu</w:t>
            </w:r>
            <w:r>
              <w:rPr>
                <w:rFonts w:ascii="Times New Roman" w:hAnsi="Times New Roman"/>
                <w:sz w:val="20"/>
                <w:szCs w:val="20"/>
              </w:rPr>
              <w:t xml:space="preserve">me- and </w:t>
            </w:r>
            <w:proofErr w:type="spellStart"/>
            <w:r>
              <w:rPr>
                <w:rFonts w:ascii="Times New Roman" w:hAnsi="Times New Roman"/>
                <w:sz w:val="20"/>
                <w:szCs w:val="20"/>
              </w:rPr>
              <w:t>creatinine</w:t>
            </w:r>
            <w:proofErr w:type="spellEnd"/>
            <w:r>
              <w:rPr>
                <w:rFonts w:ascii="Times New Roman" w:hAnsi="Times New Roman"/>
                <w:sz w:val="20"/>
                <w:szCs w:val="20"/>
              </w:rPr>
              <w:t xml:space="preserve">-adjusted </w:t>
            </w:r>
            <w:proofErr w:type="spellStart"/>
            <w:r>
              <w:rPr>
                <w:rFonts w:ascii="Times New Roman" w:hAnsi="Times New Roman"/>
                <w:sz w:val="20"/>
                <w:szCs w:val="20"/>
              </w:rPr>
              <w:t>TCPy</w:t>
            </w:r>
            <w:proofErr w:type="spellEnd"/>
            <w:r w:rsidRPr="00CB475A">
              <w:rPr>
                <w:rFonts w:ascii="Times New Roman" w:hAnsi="Times New Roman"/>
                <w:sz w:val="20"/>
                <w:szCs w:val="20"/>
              </w:rPr>
              <w:t xml:space="preserve"> excretion</w:t>
            </w:r>
          </w:p>
        </w:tc>
      </w:tr>
      <w:tr w:rsidR="002500A2" w:rsidRPr="00CB475A" w:rsidTr="003C352E">
        <w:trPr>
          <w:trHeight w:val="20"/>
        </w:trPr>
        <w:tc>
          <w:tcPr>
            <w:tcW w:w="1890" w:type="dxa"/>
            <w:tcBorders>
              <w:top w:val="single" w:sz="6" w:space="0" w:color="auto"/>
              <w:bottom w:val="nil"/>
            </w:tcBorders>
            <w:shd w:val="clear" w:color="auto" w:fill="auto"/>
            <w:noWrap/>
            <w:vAlign w:val="bottom"/>
          </w:tcPr>
          <w:p w:rsidR="002500A2" w:rsidRPr="00741E87" w:rsidRDefault="002500A2" w:rsidP="003C352E">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 xml:space="preserve">   1998</w:t>
            </w:r>
            <w:r w:rsidRPr="00741E87">
              <w:rPr>
                <w:rFonts w:ascii="Times New Roman" w:hAnsi="Times New Roman" w:cs="Times New Roman"/>
                <w:color w:val="000000"/>
                <w:sz w:val="32"/>
                <w:szCs w:val="32"/>
                <w:vertAlign w:val="superscript"/>
              </w:rPr>
              <w:t xml:space="preserve"> a</w:t>
            </w:r>
          </w:p>
        </w:tc>
        <w:tc>
          <w:tcPr>
            <w:tcW w:w="2160" w:type="dxa"/>
            <w:tcBorders>
              <w:top w:val="single" w:sz="6" w:space="0" w:color="auto"/>
              <w:bottom w:val="nil"/>
            </w:tcBorders>
            <w:shd w:val="clear" w:color="auto" w:fill="auto"/>
            <w:noWrap/>
            <w:vAlign w:val="bottom"/>
          </w:tcPr>
          <w:p w:rsidR="002500A2" w:rsidRPr="00741E87" w:rsidRDefault="002500A2" w:rsidP="003C352E">
            <w:pPr>
              <w:jc w:val="center"/>
              <w:rPr>
                <w:rFonts w:ascii="Times New Roman" w:hAnsi="Times New Roman" w:cs="Times New Roman"/>
                <w:color w:val="000000"/>
                <w:sz w:val="22"/>
                <w:szCs w:val="22"/>
              </w:rPr>
            </w:pPr>
          </w:p>
        </w:tc>
        <w:tc>
          <w:tcPr>
            <w:tcW w:w="2340" w:type="dxa"/>
            <w:tcBorders>
              <w:top w:val="single" w:sz="6" w:space="0" w:color="auto"/>
              <w:bottom w:val="nil"/>
            </w:tcBorders>
            <w:shd w:val="clear" w:color="auto" w:fill="auto"/>
            <w:noWrap/>
            <w:vAlign w:val="bottom"/>
          </w:tcPr>
          <w:p w:rsidR="002500A2" w:rsidRPr="00741E87" w:rsidRDefault="002500A2" w:rsidP="003C352E">
            <w:pPr>
              <w:jc w:val="center"/>
              <w:rPr>
                <w:rFonts w:ascii="Times New Roman" w:hAnsi="Times New Roman" w:cs="Times New Roman"/>
                <w:color w:val="000000"/>
                <w:sz w:val="22"/>
                <w:szCs w:val="22"/>
              </w:rPr>
            </w:pPr>
          </w:p>
        </w:tc>
        <w:tc>
          <w:tcPr>
            <w:tcW w:w="2790" w:type="dxa"/>
            <w:tcBorders>
              <w:top w:val="single" w:sz="6" w:space="0" w:color="auto"/>
              <w:bottom w:val="nil"/>
            </w:tcBorders>
            <w:shd w:val="clear" w:color="auto" w:fill="auto"/>
            <w:noWrap/>
            <w:vAlign w:val="bottom"/>
          </w:tcPr>
          <w:p w:rsidR="002500A2" w:rsidRPr="00741E87" w:rsidRDefault="002500A2" w:rsidP="003C352E">
            <w:pPr>
              <w:jc w:val="center"/>
              <w:rPr>
                <w:rFonts w:ascii="Times New Roman" w:hAnsi="Times New Roman" w:cs="Times New Roman"/>
                <w:color w:val="000000"/>
                <w:sz w:val="22"/>
                <w:szCs w:val="22"/>
              </w:rPr>
            </w:pPr>
          </w:p>
        </w:tc>
      </w:tr>
      <w:tr w:rsidR="002500A2" w:rsidRPr="00CB475A" w:rsidTr="003C352E">
        <w:trPr>
          <w:trHeight w:val="20"/>
        </w:trPr>
        <w:tc>
          <w:tcPr>
            <w:tcW w:w="1890" w:type="dxa"/>
            <w:tcBorders>
              <w:top w:val="nil"/>
            </w:tcBorders>
            <w:shd w:val="clear" w:color="auto" w:fill="auto"/>
            <w:noWrap/>
            <w:vAlign w:val="bottom"/>
          </w:tcPr>
          <w:p w:rsidR="002500A2" w:rsidRPr="00741E87" w:rsidRDefault="002500A2" w:rsidP="003C352E">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1999</w:t>
            </w:r>
          </w:p>
        </w:tc>
        <w:tc>
          <w:tcPr>
            <w:tcW w:w="2160" w:type="dxa"/>
            <w:tcBorders>
              <w:top w:val="nil"/>
            </w:tcBorders>
            <w:shd w:val="clear" w:color="auto" w:fill="auto"/>
            <w:noWrap/>
            <w:vAlign w:val="bottom"/>
          </w:tcPr>
          <w:p w:rsidR="002500A2" w:rsidRPr="00741E87" w:rsidRDefault="002500A2" w:rsidP="003C352E">
            <w:pPr>
              <w:jc w:val="center"/>
              <w:rPr>
                <w:rFonts w:ascii="Times New Roman" w:hAnsi="Times New Roman" w:cs="Times New Roman"/>
                <w:color w:val="000000"/>
                <w:sz w:val="22"/>
                <w:szCs w:val="22"/>
              </w:rPr>
            </w:pPr>
          </w:p>
        </w:tc>
        <w:tc>
          <w:tcPr>
            <w:tcW w:w="2340" w:type="dxa"/>
            <w:tcBorders>
              <w:top w:val="nil"/>
            </w:tcBorders>
            <w:shd w:val="clear" w:color="auto" w:fill="auto"/>
            <w:noWrap/>
            <w:vAlign w:val="bottom"/>
          </w:tcPr>
          <w:p w:rsidR="002500A2" w:rsidRPr="00741E87" w:rsidRDefault="002500A2" w:rsidP="003C352E">
            <w:pPr>
              <w:jc w:val="center"/>
              <w:rPr>
                <w:rFonts w:ascii="Times New Roman" w:hAnsi="Times New Roman" w:cs="Times New Roman"/>
                <w:color w:val="000000"/>
                <w:sz w:val="22"/>
                <w:szCs w:val="22"/>
              </w:rPr>
            </w:pPr>
          </w:p>
        </w:tc>
        <w:tc>
          <w:tcPr>
            <w:tcW w:w="2790" w:type="dxa"/>
            <w:tcBorders>
              <w:top w:val="nil"/>
            </w:tcBorders>
            <w:shd w:val="clear" w:color="auto" w:fill="auto"/>
            <w:noWrap/>
            <w:vAlign w:val="bottom"/>
          </w:tcPr>
          <w:p w:rsidR="002500A2" w:rsidRPr="00741E87" w:rsidRDefault="002500A2" w:rsidP="003C352E">
            <w:pPr>
              <w:jc w:val="center"/>
              <w:rPr>
                <w:rFonts w:ascii="Times New Roman" w:hAnsi="Times New Roman" w:cs="Times New Roman"/>
                <w:color w:val="000000"/>
                <w:sz w:val="22"/>
                <w:szCs w:val="22"/>
              </w:rPr>
            </w:pPr>
          </w:p>
        </w:tc>
      </w:tr>
      <w:tr w:rsidR="002500A2" w:rsidRPr="00CB475A" w:rsidTr="003C352E">
        <w:trPr>
          <w:trHeight w:val="20"/>
        </w:trPr>
        <w:tc>
          <w:tcPr>
            <w:tcW w:w="1890" w:type="dxa"/>
            <w:shd w:val="clear" w:color="auto" w:fill="auto"/>
            <w:noWrap/>
            <w:vAlign w:val="bottom"/>
          </w:tcPr>
          <w:p w:rsidR="002500A2" w:rsidRPr="00741E87" w:rsidRDefault="002500A2" w:rsidP="003C352E">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2000</w:t>
            </w:r>
          </w:p>
        </w:tc>
        <w:tc>
          <w:tcPr>
            <w:tcW w:w="2160" w:type="dxa"/>
            <w:shd w:val="clear" w:color="auto" w:fill="auto"/>
            <w:noWrap/>
            <w:vAlign w:val="bottom"/>
          </w:tcPr>
          <w:p w:rsidR="002500A2" w:rsidRPr="00741E87" w:rsidRDefault="002500A2" w:rsidP="003C352E">
            <w:pPr>
              <w:jc w:val="center"/>
              <w:rPr>
                <w:rFonts w:ascii="Times New Roman" w:hAnsi="Times New Roman" w:cs="Times New Roman"/>
                <w:color w:val="000000"/>
                <w:sz w:val="22"/>
                <w:szCs w:val="22"/>
              </w:rPr>
            </w:pPr>
          </w:p>
        </w:tc>
        <w:tc>
          <w:tcPr>
            <w:tcW w:w="2340" w:type="dxa"/>
            <w:shd w:val="clear" w:color="auto" w:fill="auto"/>
            <w:noWrap/>
            <w:vAlign w:val="bottom"/>
          </w:tcPr>
          <w:p w:rsidR="002500A2" w:rsidRPr="00741E87" w:rsidRDefault="002500A2" w:rsidP="003C352E">
            <w:pPr>
              <w:jc w:val="center"/>
              <w:rPr>
                <w:rFonts w:ascii="Times New Roman" w:hAnsi="Times New Roman" w:cs="Times New Roman"/>
                <w:color w:val="000000"/>
                <w:sz w:val="22"/>
                <w:szCs w:val="22"/>
              </w:rPr>
            </w:pPr>
          </w:p>
        </w:tc>
        <w:tc>
          <w:tcPr>
            <w:tcW w:w="2790" w:type="dxa"/>
            <w:shd w:val="clear" w:color="auto" w:fill="auto"/>
            <w:noWrap/>
            <w:vAlign w:val="bottom"/>
          </w:tcPr>
          <w:p w:rsidR="002500A2" w:rsidRPr="00741E87" w:rsidRDefault="002500A2" w:rsidP="003C352E">
            <w:pPr>
              <w:jc w:val="center"/>
              <w:rPr>
                <w:rFonts w:ascii="Times New Roman" w:hAnsi="Times New Roman" w:cs="Times New Roman"/>
                <w:color w:val="000000"/>
                <w:sz w:val="22"/>
                <w:szCs w:val="22"/>
              </w:rPr>
            </w:pPr>
          </w:p>
        </w:tc>
      </w:tr>
      <w:tr w:rsidR="002500A2" w:rsidRPr="00CB475A" w:rsidTr="003C352E">
        <w:trPr>
          <w:trHeight w:val="20"/>
        </w:trPr>
        <w:tc>
          <w:tcPr>
            <w:tcW w:w="1890" w:type="dxa"/>
            <w:shd w:val="clear" w:color="auto" w:fill="auto"/>
            <w:noWrap/>
            <w:vAlign w:val="bottom"/>
          </w:tcPr>
          <w:p w:rsidR="002500A2" w:rsidRPr="00741E87" w:rsidRDefault="002500A2" w:rsidP="003C352E">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2001</w:t>
            </w:r>
          </w:p>
        </w:tc>
        <w:tc>
          <w:tcPr>
            <w:tcW w:w="2160" w:type="dxa"/>
            <w:shd w:val="clear" w:color="auto" w:fill="auto"/>
            <w:noWrap/>
            <w:vAlign w:val="bottom"/>
          </w:tcPr>
          <w:p w:rsidR="002500A2" w:rsidRPr="00741E87" w:rsidRDefault="002500A2" w:rsidP="003C352E">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71.2</w:t>
            </w:r>
          </w:p>
        </w:tc>
        <w:tc>
          <w:tcPr>
            <w:tcW w:w="2340" w:type="dxa"/>
            <w:shd w:val="clear" w:color="auto" w:fill="auto"/>
            <w:noWrap/>
            <w:vAlign w:val="bottom"/>
          </w:tcPr>
          <w:p w:rsidR="002500A2" w:rsidRPr="00741E87" w:rsidRDefault="002500A2" w:rsidP="003C352E">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61.9</w:t>
            </w:r>
          </w:p>
        </w:tc>
        <w:tc>
          <w:tcPr>
            <w:tcW w:w="2790" w:type="dxa"/>
            <w:shd w:val="clear" w:color="auto" w:fill="auto"/>
            <w:noWrap/>
            <w:vAlign w:val="bottom"/>
          </w:tcPr>
          <w:p w:rsidR="002500A2" w:rsidRPr="00741E87" w:rsidRDefault="002500A2" w:rsidP="003C352E">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66.6</w:t>
            </w:r>
          </w:p>
        </w:tc>
      </w:tr>
      <w:tr w:rsidR="002500A2" w:rsidRPr="00CB475A" w:rsidTr="003C352E">
        <w:trPr>
          <w:trHeight w:val="20"/>
        </w:trPr>
        <w:tc>
          <w:tcPr>
            <w:tcW w:w="1890" w:type="dxa"/>
            <w:shd w:val="clear" w:color="auto" w:fill="auto"/>
            <w:noWrap/>
            <w:vAlign w:val="bottom"/>
          </w:tcPr>
          <w:p w:rsidR="002500A2" w:rsidRPr="00741E87" w:rsidRDefault="002500A2" w:rsidP="003C352E">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2002</w:t>
            </w:r>
          </w:p>
        </w:tc>
        <w:tc>
          <w:tcPr>
            <w:tcW w:w="2160" w:type="dxa"/>
            <w:shd w:val="clear" w:color="auto" w:fill="auto"/>
            <w:noWrap/>
            <w:vAlign w:val="bottom"/>
          </w:tcPr>
          <w:p w:rsidR="002500A2" w:rsidRPr="00741E87" w:rsidRDefault="002500A2" w:rsidP="003C352E">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41.2</w:t>
            </w:r>
          </w:p>
        </w:tc>
        <w:tc>
          <w:tcPr>
            <w:tcW w:w="2340" w:type="dxa"/>
            <w:shd w:val="clear" w:color="auto" w:fill="auto"/>
            <w:noWrap/>
            <w:vAlign w:val="bottom"/>
          </w:tcPr>
          <w:p w:rsidR="002500A2" w:rsidRPr="00741E87" w:rsidRDefault="002500A2" w:rsidP="003C352E">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37.0</w:t>
            </w:r>
          </w:p>
        </w:tc>
        <w:tc>
          <w:tcPr>
            <w:tcW w:w="2790" w:type="dxa"/>
            <w:shd w:val="clear" w:color="auto" w:fill="auto"/>
            <w:noWrap/>
            <w:vAlign w:val="bottom"/>
          </w:tcPr>
          <w:p w:rsidR="002500A2" w:rsidRPr="00741E87" w:rsidRDefault="002500A2" w:rsidP="003C352E">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40.0</w:t>
            </w:r>
          </w:p>
        </w:tc>
      </w:tr>
      <w:tr w:rsidR="002500A2" w:rsidRPr="00CB475A" w:rsidTr="003C352E">
        <w:trPr>
          <w:trHeight w:val="20"/>
        </w:trPr>
        <w:tc>
          <w:tcPr>
            <w:tcW w:w="1890" w:type="dxa"/>
            <w:shd w:val="clear" w:color="auto" w:fill="auto"/>
            <w:noWrap/>
            <w:vAlign w:val="bottom"/>
          </w:tcPr>
          <w:p w:rsidR="002500A2" w:rsidRPr="00741E87" w:rsidRDefault="002500A2" w:rsidP="003C352E">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2003</w:t>
            </w:r>
          </w:p>
        </w:tc>
        <w:tc>
          <w:tcPr>
            <w:tcW w:w="2160" w:type="dxa"/>
            <w:shd w:val="clear" w:color="auto" w:fill="auto"/>
            <w:noWrap/>
            <w:vAlign w:val="bottom"/>
          </w:tcPr>
          <w:p w:rsidR="002500A2" w:rsidRPr="00741E87" w:rsidRDefault="002500A2" w:rsidP="003C352E">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134.3</w:t>
            </w:r>
          </w:p>
        </w:tc>
        <w:tc>
          <w:tcPr>
            <w:tcW w:w="2340" w:type="dxa"/>
            <w:shd w:val="clear" w:color="auto" w:fill="auto"/>
            <w:noWrap/>
            <w:vAlign w:val="bottom"/>
          </w:tcPr>
          <w:p w:rsidR="002500A2" w:rsidRPr="00741E87" w:rsidRDefault="002500A2" w:rsidP="003C352E">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112.2</w:t>
            </w:r>
          </w:p>
        </w:tc>
        <w:tc>
          <w:tcPr>
            <w:tcW w:w="2790" w:type="dxa"/>
            <w:shd w:val="clear" w:color="auto" w:fill="auto"/>
            <w:noWrap/>
            <w:vAlign w:val="bottom"/>
          </w:tcPr>
          <w:p w:rsidR="002500A2" w:rsidRPr="00741E87" w:rsidRDefault="002500A2" w:rsidP="003C352E">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112.2</w:t>
            </w:r>
          </w:p>
        </w:tc>
      </w:tr>
      <w:tr w:rsidR="002500A2" w:rsidRPr="00CB475A" w:rsidTr="003C352E">
        <w:trPr>
          <w:trHeight w:val="20"/>
        </w:trPr>
        <w:tc>
          <w:tcPr>
            <w:tcW w:w="1890" w:type="dxa"/>
            <w:shd w:val="clear" w:color="auto" w:fill="auto"/>
            <w:noWrap/>
            <w:vAlign w:val="bottom"/>
          </w:tcPr>
          <w:p w:rsidR="002500A2" w:rsidRPr="00741E87" w:rsidRDefault="002500A2" w:rsidP="003C352E">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2004</w:t>
            </w:r>
          </w:p>
        </w:tc>
        <w:tc>
          <w:tcPr>
            <w:tcW w:w="2160" w:type="dxa"/>
            <w:shd w:val="clear" w:color="auto" w:fill="auto"/>
            <w:noWrap/>
            <w:vAlign w:val="bottom"/>
          </w:tcPr>
          <w:p w:rsidR="002500A2" w:rsidRPr="00741E87" w:rsidRDefault="002500A2" w:rsidP="003C352E">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135.4</w:t>
            </w:r>
          </w:p>
        </w:tc>
        <w:tc>
          <w:tcPr>
            <w:tcW w:w="2340" w:type="dxa"/>
            <w:shd w:val="clear" w:color="auto" w:fill="auto"/>
            <w:noWrap/>
            <w:vAlign w:val="bottom"/>
          </w:tcPr>
          <w:p w:rsidR="002500A2" w:rsidRPr="00741E87" w:rsidRDefault="002500A2" w:rsidP="003C352E">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160.5</w:t>
            </w:r>
          </w:p>
        </w:tc>
        <w:tc>
          <w:tcPr>
            <w:tcW w:w="2790" w:type="dxa"/>
            <w:shd w:val="clear" w:color="auto" w:fill="auto"/>
            <w:noWrap/>
            <w:vAlign w:val="bottom"/>
          </w:tcPr>
          <w:p w:rsidR="002500A2" w:rsidRPr="00741E87" w:rsidRDefault="002500A2" w:rsidP="003C352E">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147.9</w:t>
            </w:r>
          </w:p>
        </w:tc>
      </w:tr>
      <w:tr w:rsidR="002500A2" w:rsidRPr="00CB475A" w:rsidTr="003C352E">
        <w:trPr>
          <w:trHeight w:val="20"/>
        </w:trPr>
        <w:tc>
          <w:tcPr>
            <w:tcW w:w="1890" w:type="dxa"/>
            <w:shd w:val="clear" w:color="auto" w:fill="auto"/>
            <w:noWrap/>
            <w:vAlign w:val="bottom"/>
          </w:tcPr>
          <w:p w:rsidR="002500A2" w:rsidRPr="00741E87" w:rsidRDefault="002500A2" w:rsidP="003C352E">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2001-2</w:t>
            </w:r>
          </w:p>
        </w:tc>
        <w:tc>
          <w:tcPr>
            <w:tcW w:w="2160" w:type="dxa"/>
            <w:shd w:val="clear" w:color="auto" w:fill="auto"/>
            <w:noWrap/>
            <w:vAlign w:val="bottom"/>
          </w:tcPr>
          <w:p w:rsidR="002500A2" w:rsidRPr="00741E87" w:rsidRDefault="002500A2" w:rsidP="003C352E">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57.8</w:t>
            </w:r>
          </w:p>
        </w:tc>
        <w:tc>
          <w:tcPr>
            <w:tcW w:w="2340" w:type="dxa"/>
            <w:shd w:val="clear" w:color="auto" w:fill="auto"/>
            <w:noWrap/>
            <w:vAlign w:val="bottom"/>
          </w:tcPr>
          <w:p w:rsidR="002500A2" w:rsidRPr="00741E87" w:rsidRDefault="002500A2" w:rsidP="003C352E">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50.8</w:t>
            </w:r>
          </w:p>
        </w:tc>
        <w:tc>
          <w:tcPr>
            <w:tcW w:w="2790" w:type="dxa"/>
            <w:shd w:val="clear" w:color="auto" w:fill="auto"/>
            <w:noWrap/>
            <w:vAlign w:val="bottom"/>
          </w:tcPr>
          <w:p w:rsidR="002500A2" w:rsidRPr="00741E87" w:rsidRDefault="002500A2" w:rsidP="003C352E">
            <w:pPr>
              <w:jc w:val="center"/>
              <w:rPr>
                <w:rFonts w:ascii="Times New Roman" w:hAnsi="Times New Roman" w:cs="Times New Roman"/>
                <w:b/>
                <w:color w:val="000000"/>
                <w:sz w:val="22"/>
                <w:szCs w:val="22"/>
              </w:rPr>
            </w:pPr>
            <w:r w:rsidRPr="00741E87">
              <w:rPr>
                <w:rFonts w:ascii="Times New Roman" w:hAnsi="Times New Roman" w:cs="Times New Roman"/>
                <w:b/>
                <w:color w:val="000000"/>
                <w:sz w:val="22"/>
                <w:szCs w:val="22"/>
              </w:rPr>
              <w:t>54.3</w:t>
            </w:r>
            <w:r w:rsidRPr="00741E87">
              <w:rPr>
                <w:rFonts w:ascii="Calibri" w:hAnsi="Calibri"/>
                <w:color w:val="000000"/>
                <w:sz w:val="20"/>
                <w:szCs w:val="20"/>
                <w:vertAlign w:val="superscript"/>
              </w:rPr>
              <w:t xml:space="preserve"> </w:t>
            </w:r>
            <w:r>
              <w:rPr>
                <w:rFonts w:ascii="Calibri" w:hAnsi="Calibri"/>
                <w:color w:val="000000"/>
                <w:sz w:val="20"/>
                <w:szCs w:val="20"/>
                <w:vertAlign w:val="superscript"/>
              </w:rPr>
              <w:t>c</w:t>
            </w:r>
          </w:p>
        </w:tc>
      </w:tr>
      <w:tr w:rsidR="002500A2" w:rsidRPr="00CB475A" w:rsidTr="003C352E">
        <w:trPr>
          <w:trHeight w:val="20"/>
        </w:trPr>
        <w:tc>
          <w:tcPr>
            <w:tcW w:w="1890" w:type="dxa"/>
            <w:shd w:val="clear" w:color="auto" w:fill="auto"/>
            <w:noWrap/>
            <w:vAlign w:val="bottom"/>
          </w:tcPr>
          <w:p w:rsidR="002500A2" w:rsidRPr="00741E87" w:rsidRDefault="002500A2" w:rsidP="003C352E">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All years</w:t>
            </w:r>
          </w:p>
        </w:tc>
        <w:tc>
          <w:tcPr>
            <w:tcW w:w="2160" w:type="dxa"/>
            <w:shd w:val="clear" w:color="auto" w:fill="auto"/>
            <w:noWrap/>
            <w:vAlign w:val="bottom"/>
          </w:tcPr>
          <w:p w:rsidR="002500A2" w:rsidRPr="00741E87" w:rsidRDefault="002500A2" w:rsidP="003C352E">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63.3</w:t>
            </w:r>
          </w:p>
        </w:tc>
        <w:tc>
          <w:tcPr>
            <w:tcW w:w="2340" w:type="dxa"/>
            <w:shd w:val="clear" w:color="auto" w:fill="auto"/>
            <w:noWrap/>
            <w:vAlign w:val="bottom"/>
          </w:tcPr>
          <w:p w:rsidR="002500A2" w:rsidRPr="00741E87" w:rsidRDefault="002500A2" w:rsidP="003C352E">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56.7</w:t>
            </w:r>
          </w:p>
        </w:tc>
        <w:tc>
          <w:tcPr>
            <w:tcW w:w="2790" w:type="dxa"/>
            <w:shd w:val="clear" w:color="auto" w:fill="auto"/>
            <w:noWrap/>
            <w:vAlign w:val="bottom"/>
          </w:tcPr>
          <w:p w:rsidR="002500A2" w:rsidRPr="00741E87" w:rsidRDefault="002500A2" w:rsidP="003C352E">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59.8</w:t>
            </w:r>
          </w:p>
        </w:tc>
      </w:tr>
    </w:tbl>
    <w:p w:rsidR="002500A2" w:rsidRPr="00B607D1" w:rsidRDefault="002500A2" w:rsidP="002500A2">
      <w:pPr>
        <w:pStyle w:val="Body"/>
        <w:spacing w:before="0"/>
        <w:rPr>
          <w:rFonts w:cs="Times New Roman"/>
          <w:color w:val="000000"/>
          <w:sz w:val="18"/>
          <w:szCs w:val="18"/>
        </w:rPr>
      </w:pPr>
      <w:proofErr w:type="gramStart"/>
      <w:r w:rsidRPr="00B607D1">
        <w:rPr>
          <w:rFonts w:cs="Times New Roman"/>
          <w:color w:val="000000"/>
          <w:sz w:val="18"/>
          <w:szCs w:val="18"/>
          <w:vertAlign w:val="superscript"/>
        </w:rPr>
        <w:t>a</w:t>
      </w:r>
      <w:proofErr w:type="gramEnd"/>
      <w:r w:rsidRPr="00B607D1">
        <w:rPr>
          <w:rFonts w:cs="Times New Roman"/>
          <w:color w:val="000000"/>
          <w:sz w:val="18"/>
          <w:szCs w:val="18"/>
          <w:vertAlign w:val="superscript"/>
        </w:rPr>
        <w:t xml:space="preserve"> </w:t>
      </w:r>
      <w:r w:rsidRPr="00B607D1">
        <w:rPr>
          <w:rFonts w:cs="Times New Roman"/>
          <w:color w:val="000000"/>
          <w:sz w:val="18"/>
          <w:szCs w:val="18"/>
        </w:rPr>
        <w:t xml:space="preserve">No measurements of urinary </w:t>
      </w:r>
      <w:proofErr w:type="spellStart"/>
      <w:r w:rsidRPr="00B607D1">
        <w:rPr>
          <w:rFonts w:cs="Times New Roman"/>
          <w:color w:val="000000"/>
          <w:sz w:val="18"/>
          <w:szCs w:val="18"/>
        </w:rPr>
        <w:t>TCPy</w:t>
      </w:r>
      <w:proofErr w:type="spellEnd"/>
      <w:r w:rsidRPr="00B607D1">
        <w:rPr>
          <w:rFonts w:cs="Times New Roman"/>
          <w:color w:val="000000"/>
          <w:sz w:val="18"/>
          <w:szCs w:val="18"/>
        </w:rPr>
        <w:t xml:space="preserve"> were made before 2001.</w:t>
      </w:r>
    </w:p>
    <w:p w:rsidR="002500A2" w:rsidRPr="00B607D1" w:rsidRDefault="002500A2" w:rsidP="002500A2">
      <w:pPr>
        <w:pStyle w:val="Body"/>
        <w:spacing w:before="0"/>
        <w:rPr>
          <w:sz w:val="18"/>
          <w:szCs w:val="18"/>
        </w:rPr>
      </w:pPr>
      <w:r w:rsidRPr="00B607D1">
        <w:rPr>
          <w:rFonts w:ascii="Calibri" w:hAnsi="Calibri"/>
          <w:color w:val="000000"/>
          <w:sz w:val="18"/>
          <w:szCs w:val="18"/>
          <w:vertAlign w:val="superscript"/>
        </w:rPr>
        <w:t>b</w:t>
      </w:r>
      <w:r w:rsidRPr="00B607D1">
        <w:rPr>
          <w:sz w:val="18"/>
          <w:szCs w:val="18"/>
        </w:rPr>
        <w:t xml:space="preserve"> Volume- and </w:t>
      </w:r>
      <w:proofErr w:type="spellStart"/>
      <w:r w:rsidRPr="00B607D1">
        <w:rPr>
          <w:sz w:val="18"/>
          <w:szCs w:val="18"/>
        </w:rPr>
        <w:t>creatinine</w:t>
      </w:r>
      <w:proofErr w:type="spellEnd"/>
      <w:r w:rsidRPr="00B607D1">
        <w:rPr>
          <w:sz w:val="18"/>
          <w:szCs w:val="18"/>
        </w:rPr>
        <w:t xml:space="preserve">-correction formulae were based on data from </w:t>
      </w:r>
      <w:proofErr w:type="spellStart"/>
      <w:r w:rsidRPr="00B607D1">
        <w:rPr>
          <w:sz w:val="18"/>
          <w:szCs w:val="18"/>
        </w:rPr>
        <w:t>Knuppel</w:t>
      </w:r>
      <w:proofErr w:type="spellEnd"/>
      <w:r w:rsidRPr="00B607D1">
        <w:rPr>
          <w:sz w:val="18"/>
          <w:szCs w:val="18"/>
        </w:rPr>
        <w:t xml:space="preserve"> et al. (1979) </w:t>
      </w:r>
      <w:r w:rsidR="004375A8" w:rsidRPr="00B607D1">
        <w:rPr>
          <w:sz w:val="18"/>
          <w:szCs w:val="18"/>
        </w:rPr>
        <w:fldChar w:fldCharType="begin"/>
      </w:r>
      <w:r w:rsidR="002B6D02">
        <w:rPr>
          <w:sz w:val="18"/>
          <w:szCs w:val="18"/>
        </w:rPr>
        <w:instrText xml:space="preserve"> ADDIN EN.CITE &lt;EndNote&gt;&lt;Cite&gt;&lt;Author&gt;Knuppel&lt;/Author&gt;&lt;Year&gt;1979&lt;/Year&gt;&lt;RecNum&gt;346&lt;/RecNum&gt;&lt;DisplayText&gt;&lt;style face="superscript"&gt;(2)&lt;/style&gt;&lt;/DisplayText&gt;&lt;record&gt;&lt;rec-number&gt;346&lt;/rec-number&gt;&lt;foreign-keys&gt;&lt;key app="EN" db-id="2f0wz59svt5xs8exzxzv0rslppppfsewvad5"&gt;346&lt;/key&gt;&lt;/foreign-keys&gt;&lt;ref-type name="Journal Article"&gt;17&lt;/ref-type&gt;&lt;contributors&gt;&lt;authors&gt;&lt;author&gt;Knuppel, R. A.&lt;/author&gt;&lt;author&gt;Sbarra, A. J.&lt;/author&gt;&lt;author&gt;Cetrulo, C. L.&lt;/author&gt;&lt;author&gt;Kappy, K. A.&lt;/author&gt;&lt;author&gt;Ingardia, C. J.&lt;/author&gt;&lt;author&gt;Selvaraj, R. J.&lt;/author&gt;&lt;/authors&gt;&lt;/contributors&gt;&lt;titles&gt;&lt;title&gt;24-hour urine creatinine excretion in pregnancy&lt;/title&gt;&lt;secondary-title&gt;Obstet Gynecol&lt;/secondary-title&gt;&lt;/titles&gt;&lt;periodical&gt;&lt;full-title&gt;Obstet Gynecol&lt;/full-title&gt;&lt;/periodical&gt;&lt;pages&gt;327-9&lt;/pages&gt;&lt;volume&gt;54&lt;/volume&gt;&lt;number&gt;3&lt;/number&gt;&lt;edition&gt;1979/09/01&lt;/edition&gt;&lt;keywords&gt;&lt;keyword&gt;Creatinine/*urine&lt;/keyword&gt;&lt;keyword&gt;Female&lt;/keyword&gt;&lt;keyword&gt;Humans&lt;/keyword&gt;&lt;keyword&gt;*Pregnancy&lt;/keyword&gt;&lt;keyword&gt;Pregnancy Complications/*urine&lt;/keyword&gt;&lt;keyword&gt;Specimen Handling&lt;/keyword&gt;&lt;keyword&gt;Time Factors&lt;/keyword&gt;&lt;/keywords&gt;&lt;dates&gt;&lt;year&gt;1979&lt;/year&gt;&lt;pub-dates&gt;&lt;date&gt;Sep&lt;/date&gt;&lt;/pub-dates&gt;&lt;/dates&gt;&lt;isbn&gt;0029-7844 (Print)&amp;#xD;0029-7844 (Linking)&lt;/isbn&gt;&lt;accession-num&gt;471373&lt;/accession-num&gt;&lt;urls&gt;&lt;related-urls&gt;&lt;url&gt;http://www.ncbi.nlm.nih.gov/entrez/query.fcgi?cmd=Retrieve&amp;amp;db=PubMed&amp;amp;dopt=Citation&amp;amp;list_uids=471373&lt;/url&gt;&lt;/related-urls&gt;&lt;/urls&gt;&lt;language&gt;eng&lt;/language&gt;&lt;/record&gt;&lt;/Cite&gt;&lt;/EndNote&gt;</w:instrText>
      </w:r>
      <w:r w:rsidR="004375A8" w:rsidRPr="00B607D1">
        <w:rPr>
          <w:sz w:val="18"/>
          <w:szCs w:val="18"/>
        </w:rPr>
        <w:fldChar w:fldCharType="separate"/>
      </w:r>
      <w:r w:rsidR="002B6D02" w:rsidRPr="002B6D02">
        <w:rPr>
          <w:noProof/>
          <w:sz w:val="18"/>
          <w:szCs w:val="18"/>
          <w:vertAlign w:val="superscript"/>
        </w:rPr>
        <w:t>(</w:t>
      </w:r>
      <w:hyperlink w:anchor="_ENREF_2" w:tooltip="Knuppel, 1979 #346" w:history="1">
        <w:r w:rsidR="002B6D02" w:rsidRPr="002B6D02">
          <w:rPr>
            <w:noProof/>
            <w:sz w:val="18"/>
            <w:szCs w:val="18"/>
            <w:vertAlign w:val="superscript"/>
          </w:rPr>
          <w:t>2</w:t>
        </w:r>
      </w:hyperlink>
      <w:r w:rsidR="002B6D02" w:rsidRPr="002B6D02">
        <w:rPr>
          <w:noProof/>
          <w:sz w:val="18"/>
          <w:szCs w:val="18"/>
          <w:vertAlign w:val="superscript"/>
        </w:rPr>
        <w:t>)</w:t>
      </w:r>
      <w:r w:rsidR="004375A8" w:rsidRPr="00B607D1">
        <w:rPr>
          <w:sz w:val="18"/>
          <w:szCs w:val="18"/>
        </w:rPr>
        <w:fldChar w:fldCharType="end"/>
      </w:r>
      <w:r w:rsidRPr="00B607D1">
        <w:rPr>
          <w:sz w:val="18"/>
          <w:szCs w:val="18"/>
        </w:rPr>
        <w:t xml:space="preserve">.  </w:t>
      </w:r>
    </w:p>
    <w:p w:rsidR="002500A2" w:rsidRPr="00B607D1" w:rsidRDefault="002500A2" w:rsidP="002500A2">
      <w:pPr>
        <w:pStyle w:val="Body"/>
        <w:spacing w:before="0"/>
        <w:rPr>
          <w:sz w:val="18"/>
          <w:szCs w:val="18"/>
        </w:rPr>
      </w:pPr>
      <w:r w:rsidRPr="00B607D1">
        <w:rPr>
          <w:rFonts w:ascii="Calibri" w:hAnsi="Calibri"/>
          <w:color w:val="000000"/>
          <w:sz w:val="18"/>
          <w:szCs w:val="18"/>
          <w:vertAlign w:val="superscript"/>
        </w:rPr>
        <w:t>c</w:t>
      </w:r>
      <w:r w:rsidRPr="00B607D1">
        <w:rPr>
          <w:sz w:val="18"/>
          <w:szCs w:val="18"/>
        </w:rPr>
        <w:t xml:space="preserve"> This value</w:t>
      </w:r>
      <w:r>
        <w:rPr>
          <w:sz w:val="18"/>
          <w:szCs w:val="18"/>
        </w:rPr>
        <w:t>, after rounding up to 55,</w:t>
      </w:r>
      <w:r w:rsidRPr="00B607D1">
        <w:rPr>
          <w:sz w:val="18"/>
          <w:szCs w:val="18"/>
        </w:rPr>
        <w:t xml:space="preserve"> was chosen to represent the upper bound of the oral dose/blood level distribution in the “prior” bounding calculation for the ingestion route of exposure.  However, for the inhalation route, the PBPK modeling revealed that even with an infinite rate of liver metabolism of </w:t>
      </w:r>
      <w:proofErr w:type="spellStart"/>
      <w:r w:rsidRPr="00B607D1">
        <w:rPr>
          <w:sz w:val="18"/>
          <w:szCs w:val="18"/>
        </w:rPr>
        <w:t>chlorpyrifos</w:t>
      </w:r>
      <w:proofErr w:type="spellEnd"/>
      <w:r w:rsidRPr="00B607D1">
        <w:rPr>
          <w:sz w:val="18"/>
          <w:szCs w:val="18"/>
        </w:rPr>
        <w:t xml:space="preserve"> (implemented in the model by reducing the release of </w:t>
      </w:r>
      <w:proofErr w:type="spellStart"/>
      <w:r w:rsidRPr="00B607D1">
        <w:rPr>
          <w:sz w:val="18"/>
          <w:szCs w:val="18"/>
        </w:rPr>
        <w:t>chlorpyrifos</w:t>
      </w:r>
      <w:proofErr w:type="spellEnd"/>
      <w:r w:rsidRPr="00B607D1">
        <w:rPr>
          <w:sz w:val="18"/>
          <w:szCs w:val="18"/>
        </w:rPr>
        <w:t xml:space="preserve"> from the liver to the venous circulation to zero) and baseline partition coefficients, the maximum inhalation </w:t>
      </w:r>
      <w:proofErr w:type="spellStart"/>
      <w:r w:rsidRPr="00B607D1">
        <w:rPr>
          <w:sz w:val="18"/>
          <w:szCs w:val="18"/>
        </w:rPr>
        <w:t>chlorpyrifos</w:t>
      </w:r>
      <w:proofErr w:type="spellEnd"/>
      <w:r w:rsidRPr="00B607D1">
        <w:rPr>
          <w:sz w:val="18"/>
          <w:szCs w:val="18"/>
        </w:rPr>
        <w:t xml:space="preserve"> dose/blood level was not expected to exceed 32.53.  With tissue/blood partition coefficients corresponding to 2 standard deviations above the inferred central estimate calculated from Lowe et al, (that is, a fat/blood partition coefficient of about 148), the inhalation </w:t>
      </w:r>
      <w:proofErr w:type="spellStart"/>
      <w:r w:rsidRPr="00B607D1">
        <w:rPr>
          <w:sz w:val="18"/>
          <w:szCs w:val="18"/>
        </w:rPr>
        <w:t>chlorpyrifos</w:t>
      </w:r>
      <w:proofErr w:type="spellEnd"/>
      <w:r w:rsidRPr="00B607D1">
        <w:rPr>
          <w:sz w:val="18"/>
          <w:szCs w:val="18"/>
        </w:rPr>
        <w:t xml:space="preserve"> dose/blood level was not expected to exceed 32.98.  In the light of this constraint, we choose to revise the upper bound of the inhalation dose/blood ratio for our “bounding” calculation to 32.98 </w:t>
      </w:r>
      <w:proofErr w:type="spellStart"/>
      <w:r w:rsidRPr="00B607D1">
        <w:rPr>
          <w:sz w:val="18"/>
          <w:szCs w:val="18"/>
        </w:rPr>
        <w:t>ng</w:t>
      </w:r>
      <w:proofErr w:type="spellEnd"/>
      <w:r w:rsidRPr="00B607D1">
        <w:rPr>
          <w:sz w:val="18"/>
          <w:szCs w:val="18"/>
        </w:rPr>
        <w:t xml:space="preserve">/kg-day/(pg/g blood) and we represent the uncertainty in the inhalation dose/blood level ratio as a normal distribution, with the 1%-99% confidence limits set at the lower and upper bounds as specified here and in Table II, with a truncation limits of 1.0 and 35.  PBPK-based metabolism rates derived from 100 </w:t>
      </w:r>
      <w:proofErr w:type="spellStart"/>
      <w:r w:rsidRPr="00B607D1">
        <w:rPr>
          <w:sz w:val="18"/>
          <w:szCs w:val="18"/>
        </w:rPr>
        <w:t>fractiles</w:t>
      </w:r>
      <w:proofErr w:type="spellEnd"/>
      <w:r w:rsidRPr="00B607D1">
        <w:rPr>
          <w:sz w:val="18"/>
          <w:szCs w:val="18"/>
        </w:rPr>
        <w:t xml:space="preserve"> of the inhalation model were then first input into the version of the PBPK model with absorption via the oral route.  This yielded unrestricted ratios of ingestion d</w:t>
      </w:r>
      <w:r>
        <w:rPr>
          <w:sz w:val="18"/>
          <w:szCs w:val="18"/>
        </w:rPr>
        <w:t xml:space="preserve">ose/blood level ranging from 2 to over 1120 for values of the inhalation dose/blood ratio ranging from 1.8 to 32.5 </w:t>
      </w:r>
      <w:r w:rsidRPr="00B607D1">
        <w:rPr>
          <w:sz w:val="18"/>
          <w:szCs w:val="18"/>
        </w:rPr>
        <w:t xml:space="preserve">with central estimate tissue/blood partition coefficients.  </w:t>
      </w:r>
      <w:r>
        <w:rPr>
          <w:sz w:val="18"/>
          <w:szCs w:val="18"/>
        </w:rPr>
        <w:t xml:space="preserve">The full </w:t>
      </w:r>
      <w:r w:rsidRPr="00B607D1">
        <w:rPr>
          <w:sz w:val="18"/>
          <w:szCs w:val="18"/>
        </w:rPr>
        <w:t>unrestricted model equation was:</w:t>
      </w:r>
    </w:p>
    <w:p w:rsidR="002500A2" w:rsidRPr="00B607D1" w:rsidRDefault="002500A2" w:rsidP="002500A2">
      <w:pPr>
        <w:pStyle w:val="Body"/>
        <w:spacing w:before="0"/>
        <w:rPr>
          <w:sz w:val="18"/>
          <w:szCs w:val="18"/>
        </w:rPr>
      </w:pPr>
    </w:p>
    <w:p w:rsidR="002500A2" w:rsidRPr="00B607D1" w:rsidRDefault="002500A2" w:rsidP="002500A2">
      <w:pPr>
        <w:rPr>
          <w:rFonts w:ascii="Times New Roman" w:hAnsi="Times New Roman" w:cs="Times New Roman"/>
          <w:sz w:val="18"/>
          <w:szCs w:val="18"/>
        </w:rPr>
      </w:pPr>
      <w:r w:rsidRPr="00B607D1">
        <w:rPr>
          <w:rFonts w:ascii="Times New Roman" w:hAnsi="Times New Roman" w:cs="Times New Roman"/>
          <w:position w:val="-10"/>
          <w:sz w:val="18"/>
          <w:szCs w:val="18"/>
        </w:rPr>
        <w:object w:dxaOrig="89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pt;height:19.5pt" o:ole="">
            <v:imagedata r:id="rId7" o:title=""/>
          </v:shape>
          <o:OLEObject Type="Embed" ProgID="Equation.3" ShapeID="_x0000_i1025" DrawAspect="Content" ObjectID="_1424517510" r:id="rId8"/>
        </w:object>
      </w:r>
    </w:p>
    <w:p w:rsidR="002500A2" w:rsidRPr="00B607D1" w:rsidRDefault="002500A2" w:rsidP="002500A2">
      <w:pPr>
        <w:pStyle w:val="Body"/>
        <w:spacing w:before="0"/>
        <w:rPr>
          <w:sz w:val="18"/>
          <w:szCs w:val="18"/>
        </w:rPr>
      </w:pPr>
      <w:r w:rsidRPr="00B607D1">
        <w:rPr>
          <w:sz w:val="18"/>
          <w:szCs w:val="18"/>
        </w:rPr>
        <w:t>Where</w:t>
      </w:r>
    </w:p>
    <w:p w:rsidR="002500A2" w:rsidRPr="00B607D1" w:rsidRDefault="002500A2" w:rsidP="002500A2">
      <w:pPr>
        <w:pStyle w:val="Body"/>
        <w:spacing w:before="0"/>
        <w:rPr>
          <w:sz w:val="18"/>
          <w:szCs w:val="18"/>
        </w:rPr>
      </w:pPr>
    </w:p>
    <w:p w:rsidR="002500A2" w:rsidRPr="00B607D1" w:rsidRDefault="002500A2" w:rsidP="002500A2">
      <w:pPr>
        <w:rPr>
          <w:rFonts w:ascii="Times New Roman" w:hAnsi="Times New Roman" w:cs="Times New Roman"/>
          <w:sz w:val="18"/>
          <w:szCs w:val="18"/>
        </w:rPr>
      </w:pPr>
      <w:proofErr w:type="gramStart"/>
      <w:r w:rsidRPr="00B607D1">
        <w:rPr>
          <w:rFonts w:ascii="Times New Roman" w:hAnsi="Times New Roman" w:cs="Times New Roman"/>
          <w:sz w:val="18"/>
          <w:szCs w:val="18"/>
        </w:rPr>
        <w:t>base</w:t>
      </w:r>
      <w:proofErr w:type="gramEnd"/>
      <w:r w:rsidRPr="00B607D1">
        <w:rPr>
          <w:rFonts w:ascii="Times New Roman" w:hAnsi="Times New Roman" w:cs="Times New Roman"/>
          <w:sz w:val="18"/>
          <w:szCs w:val="18"/>
        </w:rPr>
        <w:t xml:space="preserve"> = 1.89</w:t>
      </w:r>
    </w:p>
    <w:p w:rsidR="002500A2" w:rsidRPr="00B607D1" w:rsidRDefault="002500A2" w:rsidP="002500A2">
      <w:pPr>
        <w:rPr>
          <w:rFonts w:ascii="Times New Roman" w:hAnsi="Times New Roman" w:cs="Times New Roman"/>
          <w:sz w:val="18"/>
          <w:szCs w:val="18"/>
        </w:rPr>
      </w:pPr>
      <w:proofErr w:type="spellStart"/>
      <w:proofErr w:type="gramStart"/>
      <w:r w:rsidRPr="00B607D1">
        <w:rPr>
          <w:rFonts w:ascii="Times New Roman" w:hAnsi="Times New Roman" w:cs="Times New Roman"/>
          <w:sz w:val="18"/>
          <w:szCs w:val="18"/>
        </w:rPr>
        <w:t>coeff</w:t>
      </w:r>
      <w:proofErr w:type="spellEnd"/>
      <w:proofErr w:type="gramEnd"/>
      <w:r w:rsidRPr="00B607D1">
        <w:rPr>
          <w:rFonts w:ascii="Times New Roman" w:hAnsi="Times New Roman" w:cs="Times New Roman"/>
          <w:sz w:val="18"/>
          <w:szCs w:val="18"/>
        </w:rPr>
        <w:t xml:space="preserve"> = 175.7</w:t>
      </w:r>
    </w:p>
    <w:p w:rsidR="002500A2" w:rsidRPr="00B607D1" w:rsidRDefault="002500A2" w:rsidP="002500A2">
      <w:pPr>
        <w:ind w:left="720" w:hanging="720"/>
        <w:rPr>
          <w:rFonts w:ascii="Times New Roman" w:hAnsi="Times New Roman" w:cs="Times New Roman"/>
          <w:sz w:val="18"/>
          <w:szCs w:val="18"/>
        </w:rPr>
      </w:pPr>
      <w:proofErr w:type="gramStart"/>
      <w:r w:rsidRPr="00B607D1">
        <w:rPr>
          <w:rFonts w:ascii="Times New Roman" w:hAnsi="Times New Roman" w:cs="Times New Roman"/>
          <w:sz w:val="18"/>
          <w:szCs w:val="18"/>
        </w:rPr>
        <w:t>liv</w:t>
      </w:r>
      <w:proofErr w:type="gramEnd"/>
      <w:r w:rsidRPr="00B607D1">
        <w:rPr>
          <w:rFonts w:ascii="Times New Roman" w:hAnsi="Times New Roman" w:cs="Times New Roman"/>
          <w:sz w:val="18"/>
          <w:szCs w:val="18"/>
        </w:rPr>
        <w:t xml:space="preserve"> met rate = liver metabolism rate (per minute) (inferred for each </w:t>
      </w:r>
      <w:r>
        <w:rPr>
          <w:rFonts w:ascii="Times New Roman" w:hAnsi="Times New Roman" w:cs="Times New Roman"/>
          <w:sz w:val="18"/>
          <w:szCs w:val="18"/>
        </w:rPr>
        <w:t>modeled value of the</w:t>
      </w:r>
      <w:r w:rsidRPr="00B607D1">
        <w:rPr>
          <w:rFonts w:ascii="Times New Roman" w:hAnsi="Times New Roman" w:cs="Times New Roman"/>
          <w:sz w:val="18"/>
          <w:szCs w:val="18"/>
        </w:rPr>
        <w:t xml:space="preserve"> distribution of the bounded inhalation dose/blood level relationship)</w:t>
      </w:r>
    </w:p>
    <w:p w:rsidR="002500A2" w:rsidRPr="00B607D1" w:rsidRDefault="002500A2" w:rsidP="002500A2">
      <w:pPr>
        <w:rPr>
          <w:rFonts w:ascii="Times New Roman" w:hAnsi="Times New Roman" w:cs="Times New Roman"/>
          <w:sz w:val="18"/>
          <w:szCs w:val="18"/>
        </w:rPr>
      </w:pPr>
      <w:proofErr w:type="gramStart"/>
      <w:r w:rsidRPr="00B607D1">
        <w:rPr>
          <w:rFonts w:ascii="Times New Roman" w:hAnsi="Times New Roman" w:cs="Times New Roman"/>
          <w:sz w:val="18"/>
          <w:szCs w:val="18"/>
        </w:rPr>
        <w:t>fitted</w:t>
      </w:r>
      <w:proofErr w:type="gramEnd"/>
      <w:r w:rsidRPr="00B607D1">
        <w:rPr>
          <w:rFonts w:ascii="Times New Roman" w:hAnsi="Times New Roman" w:cs="Times New Roman"/>
          <w:sz w:val="18"/>
          <w:szCs w:val="18"/>
        </w:rPr>
        <w:t xml:space="preserve"> exponent = 1.07</w:t>
      </w:r>
    </w:p>
    <w:p w:rsidR="002500A2" w:rsidRPr="00B607D1" w:rsidRDefault="002500A2" w:rsidP="002500A2">
      <w:pPr>
        <w:rPr>
          <w:rFonts w:ascii="Times New Roman" w:hAnsi="Times New Roman" w:cs="Times New Roman"/>
          <w:sz w:val="18"/>
          <w:szCs w:val="18"/>
        </w:rPr>
      </w:pPr>
      <w:proofErr w:type="spellStart"/>
      <w:proofErr w:type="gramStart"/>
      <w:r w:rsidRPr="00B607D1">
        <w:rPr>
          <w:rFonts w:ascii="Times New Roman" w:hAnsi="Times New Roman" w:cs="Times New Roman"/>
          <w:sz w:val="18"/>
          <w:szCs w:val="18"/>
        </w:rPr>
        <w:t>liv</w:t>
      </w:r>
      <w:proofErr w:type="spellEnd"/>
      <w:proofErr w:type="gramEnd"/>
      <w:r w:rsidRPr="00B607D1">
        <w:rPr>
          <w:rFonts w:ascii="Times New Roman" w:hAnsi="Times New Roman" w:cs="Times New Roman"/>
          <w:sz w:val="18"/>
          <w:szCs w:val="18"/>
        </w:rPr>
        <w:t xml:space="preserve"> </w:t>
      </w:r>
      <w:proofErr w:type="spellStart"/>
      <w:r w:rsidRPr="00B607D1">
        <w:rPr>
          <w:rFonts w:ascii="Times New Roman" w:hAnsi="Times New Roman" w:cs="Times New Roman"/>
          <w:sz w:val="18"/>
          <w:szCs w:val="18"/>
        </w:rPr>
        <w:t>bl</w:t>
      </w:r>
      <w:proofErr w:type="spellEnd"/>
      <w:r w:rsidRPr="00B607D1">
        <w:rPr>
          <w:rFonts w:ascii="Times New Roman" w:hAnsi="Times New Roman" w:cs="Times New Roman"/>
          <w:sz w:val="18"/>
          <w:szCs w:val="18"/>
        </w:rPr>
        <w:t xml:space="preserve"> </w:t>
      </w:r>
      <w:proofErr w:type="spellStart"/>
      <w:r w:rsidRPr="00B607D1">
        <w:rPr>
          <w:rFonts w:ascii="Times New Roman" w:hAnsi="Times New Roman" w:cs="Times New Roman"/>
          <w:sz w:val="18"/>
          <w:szCs w:val="18"/>
        </w:rPr>
        <w:t>partco</w:t>
      </w:r>
      <w:proofErr w:type="spellEnd"/>
      <w:r w:rsidRPr="00B607D1">
        <w:rPr>
          <w:rFonts w:ascii="Times New Roman" w:hAnsi="Times New Roman" w:cs="Times New Roman"/>
          <w:sz w:val="18"/>
          <w:szCs w:val="18"/>
        </w:rPr>
        <w:t xml:space="preserve"> = liver blood partition coefficient (with a central estimate value of 6.12).</w:t>
      </w:r>
    </w:p>
    <w:p w:rsidR="002500A2" w:rsidRPr="00B607D1" w:rsidRDefault="002500A2" w:rsidP="002500A2">
      <w:pPr>
        <w:pStyle w:val="Body"/>
        <w:spacing w:before="0"/>
        <w:rPr>
          <w:sz w:val="18"/>
          <w:szCs w:val="18"/>
        </w:rPr>
      </w:pPr>
    </w:p>
    <w:p w:rsidR="002500A2" w:rsidRPr="00B607D1" w:rsidRDefault="002500A2" w:rsidP="002500A2">
      <w:pPr>
        <w:pStyle w:val="Body"/>
        <w:spacing w:before="0"/>
        <w:rPr>
          <w:sz w:val="18"/>
          <w:szCs w:val="18"/>
        </w:rPr>
      </w:pPr>
      <w:r w:rsidRPr="00B607D1">
        <w:rPr>
          <w:sz w:val="18"/>
          <w:szCs w:val="18"/>
        </w:rPr>
        <w:t>Using these unlimited ingestion dose ratio results as</w:t>
      </w:r>
      <w:r>
        <w:rPr>
          <w:sz w:val="18"/>
          <w:szCs w:val="18"/>
        </w:rPr>
        <w:t xml:space="preserve"> inputs, the upper limit of 55</w:t>
      </w:r>
      <w:r w:rsidRPr="00B607D1">
        <w:rPr>
          <w:sz w:val="18"/>
          <w:szCs w:val="18"/>
        </w:rPr>
        <w:t xml:space="preserve"> was imposed via a </w:t>
      </w:r>
      <w:proofErr w:type="spellStart"/>
      <w:r w:rsidRPr="00B607D1">
        <w:rPr>
          <w:sz w:val="18"/>
          <w:szCs w:val="18"/>
        </w:rPr>
        <w:t>Michaelis</w:t>
      </w:r>
      <w:proofErr w:type="spellEnd"/>
      <w:r w:rsidRPr="00B607D1">
        <w:rPr>
          <w:sz w:val="18"/>
          <w:szCs w:val="18"/>
        </w:rPr>
        <w:t>-</w:t>
      </w:r>
      <w:proofErr w:type="spellStart"/>
      <w:r w:rsidRPr="00B607D1">
        <w:rPr>
          <w:sz w:val="18"/>
          <w:szCs w:val="18"/>
        </w:rPr>
        <w:t>Menten</w:t>
      </w:r>
      <w:proofErr w:type="spellEnd"/>
      <w:r w:rsidRPr="00B607D1">
        <w:rPr>
          <w:sz w:val="18"/>
          <w:szCs w:val="18"/>
        </w:rPr>
        <w:t>-like saturation equation form:</w:t>
      </w:r>
    </w:p>
    <w:p w:rsidR="002500A2" w:rsidRPr="00B607D1" w:rsidRDefault="002500A2" w:rsidP="002500A2">
      <w:pPr>
        <w:pStyle w:val="Body"/>
        <w:spacing w:before="0"/>
        <w:rPr>
          <w:sz w:val="18"/>
          <w:szCs w:val="18"/>
        </w:rPr>
      </w:pPr>
    </w:p>
    <w:p w:rsidR="002500A2" w:rsidRPr="00B607D1" w:rsidRDefault="002500A2" w:rsidP="002500A2">
      <w:pPr>
        <w:pStyle w:val="Body"/>
        <w:spacing w:before="0"/>
        <w:rPr>
          <w:sz w:val="18"/>
          <w:szCs w:val="18"/>
        </w:rPr>
      </w:pPr>
      <w:r w:rsidRPr="00B607D1">
        <w:rPr>
          <w:sz w:val="18"/>
          <w:szCs w:val="18"/>
        </w:rPr>
        <w:t xml:space="preserve">Limited oral dose/blood ratio = </w:t>
      </w:r>
      <w:r w:rsidRPr="00B607D1">
        <w:rPr>
          <w:position w:val="-24"/>
          <w:sz w:val="18"/>
          <w:szCs w:val="18"/>
        </w:rPr>
        <w:object w:dxaOrig="4320" w:dyaOrig="620">
          <v:shape id="_x0000_i1026" type="#_x0000_t75" style="width:3in;height:31.5pt" o:ole="">
            <v:imagedata r:id="rId9" o:title=""/>
          </v:shape>
          <o:OLEObject Type="Embed" ProgID="Equation.3" ShapeID="_x0000_i1026" DrawAspect="Content" ObjectID="_1424517511" r:id="rId10"/>
        </w:object>
      </w:r>
    </w:p>
    <w:p w:rsidR="002500A2" w:rsidRPr="00B607D1" w:rsidRDefault="002500A2" w:rsidP="002500A2">
      <w:pPr>
        <w:pStyle w:val="Body"/>
        <w:spacing w:before="0"/>
        <w:rPr>
          <w:sz w:val="18"/>
          <w:szCs w:val="18"/>
        </w:rPr>
      </w:pPr>
    </w:p>
    <w:p w:rsidR="002500A2" w:rsidRPr="00B607D1" w:rsidRDefault="002500A2" w:rsidP="002500A2">
      <w:pPr>
        <w:pStyle w:val="Body"/>
        <w:spacing w:before="0"/>
        <w:rPr>
          <w:sz w:val="18"/>
          <w:szCs w:val="18"/>
        </w:rPr>
      </w:pPr>
      <w:r w:rsidRPr="00B607D1">
        <w:rPr>
          <w:sz w:val="18"/>
          <w:szCs w:val="18"/>
        </w:rPr>
        <w:t xml:space="preserve">Where </w:t>
      </w:r>
    </w:p>
    <w:p w:rsidR="002500A2" w:rsidRPr="00B607D1" w:rsidRDefault="002500A2" w:rsidP="002500A2">
      <w:pPr>
        <w:pStyle w:val="Body"/>
        <w:spacing w:before="0"/>
        <w:rPr>
          <w:sz w:val="18"/>
          <w:szCs w:val="18"/>
        </w:rPr>
      </w:pPr>
      <w:proofErr w:type="gramStart"/>
      <w:r w:rsidRPr="00B607D1">
        <w:rPr>
          <w:sz w:val="18"/>
          <w:szCs w:val="18"/>
        </w:rPr>
        <w:t>max</w:t>
      </w:r>
      <w:proofErr w:type="gramEnd"/>
      <w:r w:rsidRPr="00B607D1">
        <w:rPr>
          <w:sz w:val="18"/>
          <w:szCs w:val="18"/>
        </w:rPr>
        <w:t xml:space="preserve"> ratio = 55</w:t>
      </w:r>
    </w:p>
    <w:p w:rsidR="002500A2" w:rsidRPr="00B607D1" w:rsidRDefault="002500A2" w:rsidP="002500A2">
      <w:pPr>
        <w:pStyle w:val="Body"/>
        <w:spacing w:before="0"/>
        <w:rPr>
          <w:sz w:val="18"/>
          <w:szCs w:val="18"/>
        </w:rPr>
      </w:pPr>
      <w:proofErr w:type="gramStart"/>
      <w:r>
        <w:rPr>
          <w:sz w:val="18"/>
          <w:szCs w:val="18"/>
        </w:rPr>
        <w:t>half-sat</w:t>
      </w:r>
      <w:proofErr w:type="gramEnd"/>
      <w:r>
        <w:rPr>
          <w:sz w:val="18"/>
          <w:szCs w:val="18"/>
        </w:rPr>
        <w:t xml:space="preserve"> value = 3</w:t>
      </w:r>
      <w:r w:rsidRPr="00B607D1">
        <w:rPr>
          <w:sz w:val="18"/>
          <w:szCs w:val="18"/>
        </w:rPr>
        <w:t>5</w:t>
      </w:r>
    </w:p>
    <w:p w:rsidR="002500A2" w:rsidRPr="00B607D1" w:rsidRDefault="002500A2" w:rsidP="002500A2">
      <w:pPr>
        <w:pStyle w:val="Body"/>
        <w:spacing w:before="0"/>
        <w:rPr>
          <w:sz w:val="18"/>
          <w:szCs w:val="18"/>
        </w:rPr>
      </w:pPr>
    </w:p>
    <w:p w:rsidR="002500A2" w:rsidRDefault="002500A2" w:rsidP="002500A2">
      <w:pPr>
        <w:rPr>
          <w:rFonts w:ascii="Times New Roman" w:hAnsi="Times New Roman"/>
        </w:rPr>
      </w:pPr>
      <w:r w:rsidRPr="00B607D1">
        <w:rPr>
          <w:sz w:val="18"/>
          <w:szCs w:val="18"/>
        </w:rPr>
        <w:t xml:space="preserve">Choice of these values allowed the predicted oral dose/blood level ratios to maintain agreement throughout the entire range of </w:t>
      </w:r>
      <w:proofErr w:type="spellStart"/>
      <w:r w:rsidRPr="00B607D1">
        <w:rPr>
          <w:sz w:val="18"/>
          <w:szCs w:val="18"/>
        </w:rPr>
        <w:t>fractiles</w:t>
      </w:r>
      <w:proofErr w:type="spellEnd"/>
      <w:r w:rsidRPr="00B607D1">
        <w:rPr>
          <w:sz w:val="18"/>
          <w:szCs w:val="18"/>
        </w:rPr>
        <w:t xml:space="preserve"> with the dual constraints that </w:t>
      </w:r>
      <w:r>
        <w:rPr>
          <w:sz w:val="18"/>
          <w:szCs w:val="18"/>
        </w:rPr>
        <w:t xml:space="preserve">(1) </w:t>
      </w:r>
      <w:r w:rsidRPr="00B607D1">
        <w:rPr>
          <w:sz w:val="18"/>
          <w:szCs w:val="18"/>
        </w:rPr>
        <w:t xml:space="preserve">the oral dose/blood ratio should be less than 55 and </w:t>
      </w:r>
      <w:r>
        <w:rPr>
          <w:sz w:val="18"/>
          <w:szCs w:val="18"/>
        </w:rPr>
        <w:t xml:space="preserve">(2) </w:t>
      </w:r>
      <w:r w:rsidRPr="00B607D1">
        <w:rPr>
          <w:sz w:val="18"/>
          <w:szCs w:val="18"/>
        </w:rPr>
        <w:t>greater than the inhalation dose/blood level</w:t>
      </w:r>
      <w:r>
        <w:rPr>
          <w:sz w:val="18"/>
          <w:szCs w:val="18"/>
        </w:rPr>
        <w:t xml:space="preserve"> ratio</w:t>
      </w:r>
      <w:r w:rsidRPr="00B607D1">
        <w:rPr>
          <w:sz w:val="18"/>
          <w:szCs w:val="18"/>
        </w:rPr>
        <w:t xml:space="preserve"> that was used to derive the liver metabolism rate.</w:t>
      </w:r>
      <w:r>
        <w:br w:type="page"/>
      </w:r>
    </w:p>
    <w:p w:rsidR="00FE0200" w:rsidRPr="00D330CC" w:rsidRDefault="00FE0200" w:rsidP="00FE0200">
      <w:pPr>
        <w:pStyle w:val="Body2"/>
      </w:pPr>
      <w:r>
        <w:lastRenderedPageBreak/>
        <w:t>However later PBPK modeling required a modification of this upper bound, as well for the inhalation route of exposure.  Model variants constructed to provide essentially infinite rates of liver metabolism were constructed by setting the output from the liver to the venous blood comp</w:t>
      </w:r>
      <w:r w:rsidR="002500A2">
        <w:t>artment to zero.  On this basi</w:t>
      </w:r>
      <w:r>
        <w:t xml:space="preserve">s we find that maximum inhalation dose/blood level ratios at 400 hours of continuous exposure cannot be expected to exceed 32.53 for central estimates of tissue/blood partition coefficients.  </w:t>
      </w:r>
      <w:r w:rsidRPr="00D330CC">
        <w:t xml:space="preserve">With tissue/blood partition coefficients corresponding to 2 standard deviations above the inferred central estimate calculated from Lowe et al, (that is, a fat/blood partition coefficient of about 148), the inhalation </w:t>
      </w:r>
      <w:proofErr w:type="spellStart"/>
      <w:r w:rsidRPr="00D330CC">
        <w:t>chlorpyrifos</w:t>
      </w:r>
      <w:proofErr w:type="spellEnd"/>
      <w:r w:rsidRPr="00D330CC">
        <w:t xml:space="preserve"> dose/blood level was not expected to exceed 32.98.  In the light of this constraint, we choose to revise the upper bound for our “bounding” calculation to 32.98 </w:t>
      </w:r>
      <w:proofErr w:type="spellStart"/>
      <w:r w:rsidRPr="00D330CC">
        <w:t>ng</w:t>
      </w:r>
      <w:proofErr w:type="spellEnd"/>
      <w:r w:rsidRPr="00D330CC">
        <w:t xml:space="preserve">/kg-day/(pg/g blood) </w:t>
      </w:r>
      <w:r>
        <w:t xml:space="preserve">Recognizing that the extreme “bounds” derived from these data are not absolute limits, but represent some percentiles of the uncertainty distribution </w:t>
      </w:r>
      <w:r w:rsidR="004375A8">
        <w:fldChar w:fldCharType="begin"/>
      </w:r>
      <w:r w:rsidR="002B6D02">
        <w:instrText xml:space="preserve"> ADDIN EN.CITE &lt;EndNote&gt;&lt;Cite&gt;&lt;Author&gt;Speirs-Bridge&lt;/Author&gt;&lt;Year&gt;2010&lt;/Year&gt;&lt;RecNum&gt;3&lt;/RecNum&gt;&lt;DisplayText&gt;&lt;style face="superscript"&gt;(3)&lt;/style&gt;&lt;/DisplayText&gt;&lt;record&gt;&lt;rec-number&gt;3&lt;/rec-number&gt;&lt;foreign-keys&gt;&lt;key app="EN" db-id="w59sss00sevvpme0dvlx00f1svtv9f55d550"&gt;3&lt;/key&gt;&lt;/foreign-keys&gt;&lt;ref-type name="Journal Article"&gt;17&lt;/ref-type&gt;&lt;contributors&gt;&lt;authors&gt;&lt;author&gt;Speirs-Bridge, A.&lt;/author&gt;&lt;author&gt;Fidler, F.&lt;/author&gt;&lt;author&gt;McBride, M.&lt;/author&gt;&lt;author&gt;Flander, L.&lt;/author&gt;&lt;author&gt;Cumming, G.&lt;/author&gt;&lt;author&gt;Burgman, M.&lt;/author&gt;&lt;/authors&gt;&lt;/contributors&gt;&lt;auth-address&gt;School of Psychological Science, La Trobe University, Australia.&lt;/auth-address&gt;&lt;titles&gt;&lt;title&gt;Reducing overconfidence in the interval judgments of experts&lt;/title&gt;&lt;secondary-title&gt;Risk analysis : an official publication of the Society for Risk Analysis&lt;/secondary-title&gt;&lt;alt-title&gt;Risk Anal&lt;/alt-title&gt;&lt;/titles&gt;&lt;periodical&gt;&lt;full-title&gt;Risk analysis : an official publication of the Society for Risk Analysis&lt;/full-title&gt;&lt;abbr-1&gt;Risk Anal&lt;/abbr-1&gt;&lt;/periodical&gt;&lt;alt-periodical&gt;&lt;full-title&gt;Risk analysis : an official publication of the Society for Risk Analysis&lt;/full-title&gt;&lt;abbr-1&gt;Risk Anal&lt;/abbr-1&gt;&lt;/alt-periodical&gt;&lt;pages&gt;512-23&lt;/pages&gt;&lt;volume&gt;30&lt;/volume&gt;&lt;number&gt;3&lt;/number&gt;&lt;edition&gt;2009/12/25&lt;/edition&gt;&lt;keywords&gt;&lt;keyword&gt;*Confidence Intervals&lt;/keyword&gt;&lt;keyword&gt;Humans&lt;/keyword&gt;&lt;keyword&gt;*Judgment&lt;/keyword&gt;&lt;keyword&gt;Public Health&lt;/keyword&gt;&lt;keyword&gt;Risk Assessment&lt;/keyword&gt;&lt;/keywords&gt;&lt;dates&gt;&lt;year&gt;2010&lt;/year&gt;&lt;pub-dates&gt;&lt;date&gt;Mar&lt;/date&gt;&lt;/pub-dates&gt;&lt;/dates&gt;&lt;isbn&gt;1539-6924 (Electronic)&amp;#xD;0272-4332 (Linking)&lt;/isbn&gt;&lt;accession-num&gt;20030766&lt;/accession-num&gt;&lt;work-type&gt;Research Support, Non-U.S. Gov&amp;apos;t&amp;#xD;Research Support, U.S. Gov&amp;apos;t, Non-P.H.S.&lt;/work-type&gt;&lt;urls&gt;&lt;related-urls&gt;&lt;url&gt;http://www.ncbi.nlm.nih.gov/pubmed/20030766&lt;/url&gt;&lt;/related-urls&gt;&lt;/urls&gt;&lt;electronic-resource-num&gt;10.1111/j.1539-6924.2009.01337.x&lt;/electronic-resource-num&gt;&lt;language&gt;eng&lt;/language&gt;&lt;/record&gt;&lt;/Cite&gt;&lt;/EndNote&gt;</w:instrText>
      </w:r>
      <w:r w:rsidR="004375A8">
        <w:fldChar w:fldCharType="separate"/>
      </w:r>
      <w:r w:rsidR="002B6D02" w:rsidRPr="002B6D02">
        <w:rPr>
          <w:noProof/>
          <w:vertAlign w:val="superscript"/>
        </w:rPr>
        <w:t>(</w:t>
      </w:r>
      <w:hyperlink w:anchor="_ENREF_3" w:tooltip="Speirs-Bridge, 2010 #3" w:history="1">
        <w:r w:rsidR="002B6D02" w:rsidRPr="002B6D02">
          <w:rPr>
            <w:noProof/>
            <w:vertAlign w:val="superscript"/>
          </w:rPr>
          <w:t>3</w:t>
        </w:r>
      </w:hyperlink>
      <w:r w:rsidR="002B6D02" w:rsidRPr="002B6D02">
        <w:rPr>
          <w:noProof/>
          <w:vertAlign w:val="superscript"/>
        </w:rPr>
        <w:t>)</w:t>
      </w:r>
      <w:r w:rsidR="004375A8">
        <w:fldChar w:fldCharType="end"/>
      </w:r>
      <w:r w:rsidRPr="009C5D71">
        <w:t xml:space="preserve"> </w:t>
      </w:r>
      <w:r w:rsidR="004375A8">
        <w:fldChar w:fldCharType="begin"/>
      </w:r>
      <w:r w:rsidR="002B6D02">
        <w:instrText xml:space="preserve"> ADDIN EN.CITE &lt;EndNote&gt;&lt;Cite&gt;&lt;Author&gt;Winman&lt;/Author&gt;&lt;Year&gt;2004&lt;/Year&gt;&lt;RecNum&gt;7&lt;/RecNum&gt;&lt;DisplayText&gt;&lt;style face="superscript"&gt;(4)&lt;/style&gt;&lt;/DisplayText&gt;&lt;record&gt;&lt;rec-number&gt;7&lt;/rec-number&gt;&lt;foreign-keys&gt;&lt;key app="EN" db-id="w59sss00sevvpme0dvlx00f1svtv9f55d550"&gt;7&lt;/key&gt;&lt;/foreign-keys&gt;&lt;ref-type name="Journal Article"&gt;17&lt;/ref-type&gt;&lt;contributors&gt;&lt;authors&gt;&lt;author&gt;Winman, A.&lt;/author&gt;&lt;author&gt;Hansson, P.&lt;/author&gt;&lt;author&gt;Juslin, P.&lt;/author&gt;&lt;/authors&gt;&lt;/contributors&gt;&lt;auth-address&gt;Department of Psychology, Uppsala University, SE-751 42 Uppsala, Sweden. anders.winman@psyk.uu.se&lt;/auth-address&gt;&lt;titles&gt;&lt;title&gt;Subjective probability intervals: how to reduce overconfidence by interval evaluation&lt;/title&gt;&lt;secondary-title&gt;Journal of experimental psychology. Learning, memory, and cognition&lt;/secondary-title&gt;&lt;alt-title&gt;J Exp Psychol Learn Mem Cogn&lt;/alt-title&gt;&lt;/titles&gt;&lt;periodical&gt;&lt;full-title&gt;Journal of experimental psychology. Learning, memory, and cognition&lt;/full-title&gt;&lt;abbr-1&gt;J Exp Psychol Learn Mem Cogn&lt;/abbr-1&gt;&lt;/periodical&gt;&lt;alt-periodical&gt;&lt;full-title&gt;Journal of experimental psychology. Learning, memory, and cognition&lt;/full-title&gt;&lt;abbr-1&gt;J Exp Psychol Learn Mem Cogn&lt;/abbr-1&gt;&lt;/alt-periodical&gt;&lt;pages&gt;1167-75&lt;/pages&gt;&lt;volume&gt;30&lt;/volume&gt;&lt;number&gt;6&lt;/number&gt;&lt;edition&gt;2004/11/04&lt;/edition&gt;&lt;keywords&gt;&lt;keyword&gt;Choice Behavior&lt;/keyword&gt;&lt;keyword&gt;Female&lt;/keyword&gt;&lt;keyword&gt;Humans&lt;/keyword&gt;&lt;keyword&gt;*Judgment&lt;/keyword&gt;&lt;keyword&gt;Male&lt;/keyword&gt;&lt;keyword&gt;Probability&lt;/keyword&gt;&lt;/keywords&gt;&lt;dates&gt;&lt;year&gt;2004&lt;/year&gt;&lt;pub-dates&gt;&lt;date&gt;Nov&lt;/date&gt;&lt;/pub-dates&gt;&lt;/dates&gt;&lt;isbn&gt;0278-7393 (Print)&amp;#xD;0278-7393 (Linking)&lt;/isbn&gt;&lt;accession-num&gt;15521796&lt;/accession-num&gt;&lt;work-type&gt;Research Support, Non-U.S. Gov&amp;apos;t&lt;/work-type&gt;&lt;urls&gt;&lt;related-urls&gt;&lt;url&gt;http://www.ncbi.nlm.nih.gov/pubmed/15521796&lt;/url&gt;&lt;/related-urls&gt;&lt;/urls&gt;&lt;electronic-resource-num&gt;10.1037/0278-7393.30.6.1167&lt;/electronic-resource-num&gt;&lt;language&gt;eng&lt;/language&gt;&lt;/record&gt;&lt;/Cite&gt;&lt;/EndNote&gt;</w:instrText>
      </w:r>
      <w:r w:rsidR="004375A8">
        <w:fldChar w:fldCharType="separate"/>
      </w:r>
      <w:r w:rsidR="002B6D02" w:rsidRPr="002B6D02">
        <w:rPr>
          <w:noProof/>
          <w:vertAlign w:val="superscript"/>
        </w:rPr>
        <w:t>(</w:t>
      </w:r>
      <w:hyperlink w:anchor="_ENREF_4" w:tooltip="Winman, 2004 #7" w:history="1">
        <w:r w:rsidR="002B6D02" w:rsidRPr="002B6D02">
          <w:rPr>
            <w:noProof/>
            <w:vertAlign w:val="superscript"/>
          </w:rPr>
          <w:t>4</w:t>
        </w:r>
      </w:hyperlink>
      <w:r w:rsidR="002B6D02" w:rsidRPr="002B6D02">
        <w:rPr>
          <w:noProof/>
          <w:vertAlign w:val="superscript"/>
        </w:rPr>
        <w:t>)</w:t>
      </w:r>
      <w:r w:rsidR="004375A8">
        <w:fldChar w:fldCharType="end"/>
      </w:r>
      <w:r>
        <w:t xml:space="preserve">,  we choose to allow for a 2% chance that the true value of the blood to dose conversion factor is outside of our extreme bounds </w:t>
      </w:r>
      <w:r w:rsidRPr="00D330CC">
        <w:t xml:space="preserve">and we represent the uncertainty in the inhalation dose/blood level ratio as a normal distribution, with the 1%-99% confidence limits set at the lower and upper </w:t>
      </w:r>
      <w:r>
        <w:t>“</w:t>
      </w:r>
      <w:r w:rsidRPr="00D330CC">
        <w:t>bounds</w:t>
      </w:r>
      <w:r>
        <w:t>” derived above.  A truncated normal, rather than a lognormal distribution is selected in this case because of the natural limitations imposed by the zero-infinite metabolism rate cases.  To further recognize this, we impose absolute truncation limits of 1-35 for the inhalation dose/blood level ratio.</w:t>
      </w:r>
    </w:p>
    <w:p w:rsidR="00FE0200" w:rsidRDefault="00FE0200" w:rsidP="00FE0200"/>
    <w:p w:rsidR="00FE0200" w:rsidRPr="00025E6A" w:rsidRDefault="00FE0200" w:rsidP="00FE0200">
      <w:pPr>
        <w:rPr>
          <w:rFonts w:ascii="Times New Roman" w:hAnsi="Times New Roman" w:cs="Times New Roman"/>
        </w:rPr>
      </w:pPr>
      <w:r w:rsidRPr="00025E6A">
        <w:rPr>
          <w:rFonts w:ascii="Times New Roman" w:hAnsi="Times New Roman" w:cs="Times New Roman"/>
        </w:rPr>
        <w:t xml:space="preserve">The footnote to Table </w:t>
      </w:r>
      <w:r w:rsidR="00BA644D">
        <w:rPr>
          <w:rFonts w:ascii="Times New Roman" w:hAnsi="Times New Roman" w:cs="Times New Roman"/>
        </w:rPr>
        <w:t>S2</w:t>
      </w:r>
      <w:r w:rsidRPr="00025E6A">
        <w:rPr>
          <w:rFonts w:ascii="Times New Roman" w:hAnsi="Times New Roman" w:cs="Times New Roman"/>
        </w:rPr>
        <w:t xml:space="preserve"> describes the procedure for </w:t>
      </w:r>
      <w:r>
        <w:rPr>
          <w:rFonts w:ascii="Times New Roman" w:hAnsi="Times New Roman" w:cs="Times New Roman"/>
        </w:rPr>
        <w:t xml:space="preserve">relating the bounding distribution estimates for the inhalation dose/blood ratios first to metabolism rates and then to oral dose/blood ratios associated with those metabolism rates.  </w:t>
      </w:r>
    </w:p>
    <w:p w:rsidR="00FE0200" w:rsidRDefault="00FE0200" w:rsidP="00FE0200"/>
    <w:p w:rsidR="00FE0200" w:rsidRPr="00635E94" w:rsidRDefault="00F05973" w:rsidP="00FE0200">
      <w:pPr>
        <w:pStyle w:val="Heading3"/>
        <w:rPr>
          <w:rFonts w:ascii="Times New Roman" w:hAnsi="Times New Roman" w:cs="Times New Roman"/>
        </w:rPr>
      </w:pPr>
      <w:bookmarkStart w:id="1" w:name="_Toc210107946"/>
      <w:r w:rsidRPr="00635E94">
        <w:rPr>
          <w:rFonts w:ascii="Times New Roman" w:hAnsi="Times New Roman" w:cs="Times New Roman"/>
        </w:rPr>
        <w:t>2.</w:t>
      </w:r>
      <w:r w:rsidR="00FE0200" w:rsidRPr="00635E94">
        <w:rPr>
          <w:rFonts w:ascii="Times New Roman" w:hAnsi="Times New Roman" w:cs="Times New Roman"/>
        </w:rPr>
        <w:t xml:space="preserve"> Input from with New Human Liver </w:t>
      </w:r>
      <w:proofErr w:type="spellStart"/>
      <w:r w:rsidR="00FE0200" w:rsidRPr="00635E94">
        <w:rPr>
          <w:rFonts w:ascii="Times New Roman" w:hAnsi="Times New Roman" w:cs="Times New Roman"/>
        </w:rPr>
        <w:t>Microsome</w:t>
      </w:r>
      <w:proofErr w:type="spellEnd"/>
      <w:r w:rsidR="00FE0200" w:rsidRPr="00635E94">
        <w:rPr>
          <w:rFonts w:ascii="Times New Roman" w:hAnsi="Times New Roman" w:cs="Times New Roman"/>
        </w:rPr>
        <w:t xml:space="preserve"> Metabolism Data Interpreted Using the PBPK Model Initially Developed by </w:t>
      </w:r>
      <w:proofErr w:type="spellStart"/>
      <w:r w:rsidR="00FE0200" w:rsidRPr="00635E94">
        <w:rPr>
          <w:rFonts w:ascii="Times New Roman" w:hAnsi="Times New Roman" w:cs="Times New Roman"/>
        </w:rPr>
        <w:t>Timchalk</w:t>
      </w:r>
      <w:proofErr w:type="spellEnd"/>
      <w:r w:rsidR="00FE0200" w:rsidRPr="00635E94">
        <w:rPr>
          <w:rFonts w:ascii="Times New Roman" w:hAnsi="Times New Roman" w:cs="Times New Roman"/>
        </w:rPr>
        <w:t xml:space="preserve"> and Coworkers</w:t>
      </w:r>
      <w:bookmarkEnd w:id="1"/>
    </w:p>
    <w:p w:rsidR="00FE0200" w:rsidRDefault="00FE0200" w:rsidP="00FE0200">
      <w:pPr>
        <w:pStyle w:val="Body"/>
      </w:pPr>
      <w:r>
        <w:t xml:space="preserve">A physiologically-based pharmacokinetic model developed by </w:t>
      </w:r>
      <w:proofErr w:type="spellStart"/>
      <w:r>
        <w:t>Timchalk</w:t>
      </w:r>
      <w:proofErr w:type="spellEnd"/>
      <w:r>
        <w:t xml:space="preserve"> and coworkers </w:t>
      </w:r>
      <w:r w:rsidR="004375A8">
        <w:fldChar w:fldCharType="begin"/>
      </w:r>
      <w:r w:rsidR="002B6D02">
        <w:instrText xml:space="preserve"> ADDIN EN.CITE &lt;EndNote&gt;&lt;Cite&gt;&lt;Author&gt;Timchalk&lt;/Author&gt;&lt;Year&gt;2002&lt;/Year&gt;&lt;RecNum&gt;342&lt;/RecNum&gt;&lt;DisplayText&gt;&lt;style face="superscript"&gt;(5)&lt;/style&gt;&lt;/DisplayText&gt;&lt;record&gt;&lt;rec-number&gt;342&lt;/rec-number&gt;&lt;foreign-keys&gt;&lt;key app="EN" db-id="2f0wz59svt5xs8exzxzv0rslppppfsewvad5"&gt;342&lt;/key&gt;&lt;/foreign-keys&gt;&lt;ref-type name="Journal Article"&gt;17&lt;/ref-type&gt;&lt;contributors&gt;&lt;authors&gt;&lt;author&gt;Timchalk, C, Nolan, RJ, Mendrala, AL, Ditenber, DA, Brzak, KA, Mattson, JL&lt;/author&gt;&lt;/authors&gt;&lt;/contributors&gt;&lt;titles&gt;&lt;title&gt;A Physiologically Based Pharmacokinetic and Pharmacodynamic (PBPK/PD) Model for the Organophosphate Insecticide Chlorpyrifos in Rats and Humans&lt;/title&gt;&lt;secondary-title&gt;Toxicological Sciences&lt;/secondary-title&gt;&lt;/titles&gt;&lt;periodical&gt;&lt;full-title&gt;Toxicological Sciences&lt;/full-title&gt;&lt;/periodical&gt;&lt;pages&gt;34-53&lt;/pages&gt;&lt;volume&gt;66&lt;/volume&gt;&lt;section&gt;34&lt;/section&gt;&lt;dates&gt;&lt;year&gt;2002&lt;/year&gt;&lt;/dates&gt;&lt;urls&gt;&lt;/urls&gt;&lt;/record&gt;&lt;/Cite&gt;&lt;/EndNote&gt;</w:instrText>
      </w:r>
      <w:r w:rsidR="004375A8">
        <w:fldChar w:fldCharType="separate"/>
      </w:r>
      <w:r w:rsidR="002B6D02" w:rsidRPr="002B6D02">
        <w:rPr>
          <w:noProof/>
          <w:vertAlign w:val="superscript"/>
        </w:rPr>
        <w:t>(</w:t>
      </w:r>
      <w:hyperlink w:anchor="_ENREF_5" w:tooltip="Timchalk, 2002 #342" w:history="1">
        <w:r w:rsidR="002B6D02" w:rsidRPr="002B6D02">
          <w:rPr>
            <w:noProof/>
            <w:vertAlign w:val="superscript"/>
          </w:rPr>
          <w:t>5</w:t>
        </w:r>
      </w:hyperlink>
      <w:r w:rsidR="002B6D02" w:rsidRPr="002B6D02">
        <w:rPr>
          <w:noProof/>
          <w:vertAlign w:val="superscript"/>
        </w:rPr>
        <w:t>)</w:t>
      </w:r>
      <w:r w:rsidR="004375A8">
        <w:fldChar w:fldCharType="end"/>
      </w:r>
      <w:r>
        <w:t xml:space="preserve">, was adapted to pregnant women by Lowe et al.  </w:t>
      </w:r>
      <w:r w:rsidR="004375A8">
        <w:fldChar w:fldCharType="begin"/>
      </w:r>
      <w:r w:rsidR="002B6D02">
        <w:instrText xml:space="preserve"> ADDIN EN.CITE &lt;EndNote&gt;&lt;Cite&gt;&lt;Author&gt;Lowe&lt;/Author&gt;&lt;Year&gt;2009&lt;/Year&gt;&lt;RecNum&gt;343&lt;/RecNum&gt;&lt;DisplayText&gt;&lt;style face="superscript"&gt;(6)&lt;/style&gt;&lt;/DisplayText&gt;&lt;record&gt;&lt;rec-number&gt;343&lt;/rec-number&gt;&lt;foreign-keys&gt;&lt;key app="EN" db-id="2f0wz59svt5xs8exzxzv0rslppppfsewvad5"&gt;343&lt;/key&gt;&lt;/foreign-keys&gt;&lt;ref-type name="Journal Article"&gt;17&lt;/ref-type&gt;&lt;contributors&gt;&lt;authors&gt;&lt;author&gt;Lowe, ER, Poet, TS, Rick, DL, Marty, MS, Mattson, JL, Timchalk, C, Bartels, MJ&lt;/author&gt;&lt;/authors&gt;&lt;/contributors&gt;&lt;titles&gt;&lt;title&gt;The Effect of Plasma Lipids on the Pharmacokinetics of Chlorpyrifos and&amp;#xD;the Impact on Interpretation of Blood Biomonitoring Data&lt;/title&gt;&lt;secondary-title&gt;Toxicological Sciences&lt;/secondary-title&gt;&lt;/titles&gt;&lt;periodical&gt;&lt;full-title&gt;Toxicological Sciences&lt;/full-title&gt;&lt;/periodical&gt;&lt;pages&gt;258-272&lt;/pages&gt;&lt;volume&gt;108&lt;/volume&gt;&lt;number&gt;2&lt;/number&gt;&lt;section&gt;258&lt;/section&gt;&lt;dates&gt;&lt;year&gt;2009&lt;/year&gt;&lt;/dates&gt;&lt;urls&gt;&lt;/urls&gt;&lt;/record&gt;&lt;/Cite&gt;&lt;/EndNote&gt;</w:instrText>
      </w:r>
      <w:r w:rsidR="004375A8">
        <w:fldChar w:fldCharType="separate"/>
      </w:r>
      <w:r w:rsidR="002B6D02" w:rsidRPr="002B6D02">
        <w:rPr>
          <w:noProof/>
          <w:vertAlign w:val="superscript"/>
        </w:rPr>
        <w:t>(</w:t>
      </w:r>
      <w:hyperlink w:anchor="_ENREF_6" w:tooltip="Lowe, 2009 #343" w:history="1">
        <w:r w:rsidR="002B6D02" w:rsidRPr="002B6D02">
          <w:rPr>
            <w:noProof/>
            <w:vertAlign w:val="superscript"/>
          </w:rPr>
          <w:t>6</w:t>
        </w:r>
      </w:hyperlink>
      <w:r w:rsidR="002B6D02" w:rsidRPr="002B6D02">
        <w:rPr>
          <w:noProof/>
          <w:vertAlign w:val="superscript"/>
        </w:rPr>
        <w:t>)</w:t>
      </w:r>
      <w:r w:rsidR="004375A8">
        <w:fldChar w:fldCharType="end"/>
      </w:r>
      <w:r>
        <w:t xml:space="preserve">.  Lowe et al. associate essentially continuous (3 hours per day over a prolonged period—400 hours) and a hearing presentation by </w:t>
      </w:r>
      <w:proofErr w:type="spellStart"/>
      <w:r>
        <w:t>Timchalk</w:t>
      </w:r>
      <w:proofErr w:type="spellEnd"/>
      <w:r w:rsidR="004375A8">
        <w:fldChar w:fldCharType="begin"/>
      </w:r>
      <w:r w:rsidR="002B6D02">
        <w:instrText xml:space="preserve"> ADDIN EN.CITE &lt;EndNote&gt;&lt;Cite&gt;&lt;Author&gt;Timchalk&lt;/Author&gt;&lt;Year&gt;2008&lt;/Year&gt;&lt;RecNum&gt;344&lt;/RecNum&gt;&lt;DisplayText&gt;&lt;style face="superscript"&gt;(7)&lt;/style&gt;&lt;/DisplayText&gt;&lt;record&gt;&lt;rec-number&gt;344&lt;/rec-number&gt;&lt;foreign-keys&gt;&lt;key app="EN" db-id="2f0wz59svt5xs8exzxzv0rslppppfsewvad5"&gt;344&lt;/key&gt;&lt;/foreign-keys&gt;&lt;ref-type name="Report"&gt;27&lt;/ref-type&gt;&lt;contributors&gt;&lt;authors&gt;&lt;author&gt;Timchalk, C, Nolan, RJ, Mendrala, AL, Ditenber, DA, Brzak, KA, Mattson, JL&lt;/author&gt;&lt;/authors&gt;&lt;/contributors&gt;&lt;titles&gt;&lt;title&gt;Timchalk C. 2008. PBPK/PD Model Simulation of Dosimetry for Chlorpyrifos following Inhalation Exposure: Center for Biological Monitoring &amp;amp; Modeling, Battelle.&lt;/title&gt;&lt;/titles&gt;&lt;dates&gt;&lt;year&gt;2008&lt;/year&gt;&lt;pub-dates&gt;&lt;date&gt;August 28, 2008&lt;/date&gt;&lt;/pub-dates&gt;&lt;/dates&gt;&lt;publisher&gt;Battelle, Center for Biological Monitoring and Modeling&lt;/publisher&gt;&lt;work-type&gt;Hearing Comment&lt;/work-type&gt;&lt;urls&gt;&lt;/urls&gt;&lt;/record&gt;&lt;/Cite&gt;&lt;/EndNote&gt;</w:instrText>
      </w:r>
      <w:r w:rsidR="004375A8">
        <w:fldChar w:fldCharType="separate"/>
      </w:r>
      <w:r w:rsidR="002B6D02" w:rsidRPr="002B6D02">
        <w:rPr>
          <w:noProof/>
          <w:vertAlign w:val="superscript"/>
        </w:rPr>
        <w:t>(</w:t>
      </w:r>
      <w:hyperlink w:anchor="_ENREF_7" w:tooltip="Timchalk, 2008 #344" w:history="1">
        <w:r w:rsidR="002B6D02" w:rsidRPr="002B6D02">
          <w:rPr>
            <w:noProof/>
            <w:vertAlign w:val="superscript"/>
          </w:rPr>
          <w:t>7</w:t>
        </w:r>
      </w:hyperlink>
      <w:r w:rsidR="002B6D02" w:rsidRPr="002B6D02">
        <w:rPr>
          <w:noProof/>
          <w:vertAlign w:val="superscript"/>
        </w:rPr>
        <w:t>)</w:t>
      </w:r>
      <w:r w:rsidR="004375A8">
        <w:fldChar w:fldCharType="end"/>
      </w:r>
      <w:r>
        <w:t xml:space="preserve">,  associate essentially continuous (3 times per day over a prolonged period—400 hours) oral exposures of 153 </w:t>
      </w:r>
      <w:proofErr w:type="spellStart"/>
      <w:r>
        <w:t>ng</w:t>
      </w:r>
      <w:proofErr w:type="spellEnd"/>
      <w:r>
        <w:t xml:space="preserve">/kg body weight-day (0.436 </w:t>
      </w:r>
      <w:proofErr w:type="spellStart"/>
      <w:r>
        <w:t>nmole</w:t>
      </w:r>
      <w:proofErr w:type="spellEnd"/>
      <w:r>
        <w:t xml:space="preserve">/kg-day) with blood levels of about 10.6 </w:t>
      </w:r>
      <w:proofErr w:type="spellStart"/>
      <w:r>
        <w:t>pmol</w:t>
      </w:r>
      <w:proofErr w:type="spellEnd"/>
      <w:r>
        <w:t xml:space="preserve">/liter.  After unit conversion (based on a molecular weight for </w:t>
      </w:r>
      <w:proofErr w:type="spellStart"/>
      <w:r>
        <w:t>chlorpyrifos</w:t>
      </w:r>
      <w:proofErr w:type="spellEnd"/>
      <w:r>
        <w:t xml:space="preserve"> of 350.6), this implies a low dose ratio of about 39.7 </w:t>
      </w:r>
      <w:proofErr w:type="spellStart"/>
      <w:r>
        <w:t>ng</w:t>
      </w:r>
      <w:proofErr w:type="spellEnd"/>
      <w:r>
        <w:t xml:space="preserve"> oral </w:t>
      </w:r>
      <w:proofErr w:type="spellStart"/>
      <w:r>
        <w:t>chlorpyrifos</w:t>
      </w:r>
      <w:proofErr w:type="spellEnd"/>
      <w:r>
        <w:t xml:space="preserve">/kg body weight/day per pg/liter of blood. </w:t>
      </w:r>
      <w:proofErr w:type="spellStart"/>
      <w:r>
        <w:t>Timchalk</w:t>
      </w:r>
      <w:proofErr w:type="spellEnd"/>
      <w:r>
        <w:t xml:space="preserve"> (2008b) also report that because a large fraction of oral </w:t>
      </w:r>
      <w:proofErr w:type="spellStart"/>
      <w:r>
        <w:t>chlorpyrifos</w:t>
      </w:r>
      <w:proofErr w:type="spellEnd"/>
      <w:r>
        <w:t xml:space="preserve"> is expected to be metabolized on its “first pass” through the liver, about 26 times more blood </w:t>
      </w:r>
      <w:proofErr w:type="spellStart"/>
      <w:r>
        <w:t>chlorpyrifos</w:t>
      </w:r>
      <w:proofErr w:type="spellEnd"/>
      <w:r>
        <w:t xml:space="preserve"> is expected per unit of chronic inhalation administration than is expected for oral exposure.  Therefore for inhalation exposure the reported expectation under the </w:t>
      </w:r>
      <w:proofErr w:type="spellStart"/>
      <w:r>
        <w:t>Timchalk</w:t>
      </w:r>
      <w:proofErr w:type="spellEnd"/>
      <w:r>
        <w:t xml:space="preserve"> model is about 39.7/26 = 1.53 </w:t>
      </w:r>
      <w:proofErr w:type="spellStart"/>
      <w:r>
        <w:t>ng</w:t>
      </w:r>
      <w:proofErr w:type="spellEnd"/>
      <w:r>
        <w:t xml:space="preserve">/kg-day per pg/g of </w:t>
      </w:r>
      <w:proofErr w:type="spellStart"/>
      <w:r>
        <w:t>chlorpyrifos</w:t>
      </w:r>
      <w:proofErr w:type="spellEnd"/>
      <w:r>
        <w:t xml:space="preserve"> in blood. </w:t>
      </w:r>
    </w:p>
    <w:p w:rsidR="00FE0200" w:rsidRDefault="00FE0200" w:rsidP="00FE0200">
      <w:pPr>
        <w:pStyle w:val="Body"/>
      </w:pPr>
      <w:r>
        <w:t xml:space="preserve">The alert reader will notice that the projected inhalation </w:t>
      </w:r>
      <w:proofErr w:type="spellStart"/>
      <w:r>
        <w:t>dosimetry</w:t>
      </w:r>
      <w:proofErr w:type="spellEnd"/>
      <w:r>
        <w:t xml:space="preserve"> ratio of 1.53 </w:t>
      </w:r>
      <w:proofErr w:type="spellStart"/>
      <w:r>
        <w:t>ng</w:t>
      </w:r>
      <w:proofErr w:type="spellEnd"/>
      <w:r>
        <w:t xml:space="preserve">/kg-day per pg/g of </w:t>
      </w:r>
      <w:proofErr w:type="spellStart"/>
      <w:r>
        <w:t>chlorpyrifos</w:t>
      </w:r>
      <w:proofErr w:type="spellEnd"/>
      <w:r>
        <w:t xml:space="preserve"> in blood from the </w:t>
      </w:r>
      <w:proofErr w:type="spellStart"/>
      <w:r>
        <w:t>Timchalk</w:t>
      </w:r>
      <w:proofErr w:type="spellEnd"/>
      <w:r>
        <w:t xml:space="preserve"> report is smaller than the revised lower limit from our bounding calculation, suggesting that there must either be some modeling error or a reporting error in either our PBPK or </w:t>
      </w:r>
      <w:proofErr w:type="spellStart"/>
      <w:r>
        <w:t>Timchalk’s</w:t>
      </w:r>
      <w:proofErr w:type="spellEnd"/>
      <w:r>
        <w:t xml:space="preserve"> model implementation.  We therefore ran a zero-metabolism check on the overall mass balance and compartmental contents of our model for pregnant women after 400 hours of inhalation dosing, using the Lowe et al fat/blood partition coefficient from late pregnancy and other tissue/blood partition coefficients scaled in proportion </w:t>
      </w:r>
      <w:r>
        <w:lastRenderedPageBreak/>
        <w:t xml:space="preserve">from the original </w:t>
      </w:r>
      <w:proofErr w:type="spellStart"/>
      <w:r>
        <w:t>Timchalk</w:t>
      </w:r>
      <w:proofErr w:type="spellEnd"/>
      <w:r w:rsidR="004375A8">
        <w:fldChar w:fldCharType="begin"/>
      </w:r>
      <w:r w:rsidR="002B6D02">
        <w:instrText xml:space="preserve"> ADDIN EN.CITE &lt;EndNote&gt;&lt;Cite&gt;&lt;Author&gt;Timchalk&lt;/Author&gt;&lt;Year&gt;2002&lt;/Year&gt;&lt;RecNum&gt;342&lt;/RecNum&gt;&lt;DisplayText&gt;&lt;style face="superscript"&gt;(5)&lt;/style&gt;&lt;/DisplayText&gt;&lt;record&gt;&lt;rec-number&gt;342&lt;/rec-number&gt;&lt;foreign-keys&gt;&lt;key app="EN" db-id="2f0wz59svt5xs8exzxzv0rslppppfsewvad5"&gt;342&lt;/key&gt;&lt;/foreign-keys&gt;&lt;ref-type name="Journal Article"&gt;17&lt;/ref-type&gt;&lt;contributors&gt;&lt;authors&gt;&lt;author&gt;Timchalk, C, Nolan, RJ, Mendrala, AL, Ditenber, DA, Brzak, KA, Mattson, JL&lt;/author&gt;&lt;/authors&gt;&lt;/contributors&gt;&lt;titles&gt;&lt;title&gt;A Physiologically Based Pharmacokinetic and Pharmacodynamic (PBPK/PD) Model for the Organophosphate Insecticide Chlorpyrifos in Rats and Humans&lt;/title&gt;&lt;secondary-title&gt;Toxicological Sciences&lt;/secondary-title&gt;&lt;/titles&gt;&lt;periodical&gt;&lt;full-title&gt;Toxicological Sciences&lt;/full-title&gt;&lt;/periodical&gt;&lt;pages&gt;34-53&lt;/pages&gt;&lt;volume&gt;66&lt;/volume&gt;&lt;section&gt;34&lt;/section&gt;&lt;dates&gt;&lt;year&gt;2002&lt;/year&gt;&lt;/dates&gt;&lt;urls&gt;&lt;/urls&gt;&lt;/record&gt;&lt;/Cite&gt;&lt;/EndNote&gt;</w:instrText>
      </w:r>
      <w:r w:rsidR="004375A8">
        <w:fldChar w:fldCharType="separate"/>
      </w:r>
      <w:r w:rsidR="002B6D02" w:rsidRPr="002B6D02">
        <w:rPr>
          <w:noProof/>
          <w:vertAlign w:val="superscript"/>
        </w:rPr>
        <w:t>(</w:t>
      </w:r>
      <w:hyperlink w:anchor="_ENREF_5" w:tooltip="Timchalk, 2002 #342" w:history="1">
        <w:r w:rsidR="002B6D02" w:rsidRPr="002B6D02">
          <w:rPr>
            <w:noProof/>
            <w:vertAlign w:val="superscript"/>
          </w:rPr>
          <w:t>5</w:t>
        </w:r>
      </w:hyperlink>
      <w:r w:rsidR="002B6D02" w:rsidRPr="002B6D02">
        <w:rPr>
          <w:noProof/>
          <w:vertAlign w:val="superscript"/>
        </w:rPr>
        <w:t>)</w:t>
      </w:r>
      <w:r w:rsidR="004375A8">
        <w:fldChar w:fldCharType="end"/>
      </w:r>
      <w:r>
        <w:t xml:space="preserve"> values.  Over this period, the total </w:t>
      </w:r>
      <w:proofErr w:type="spellStart"/>
      <w:r>
        <w:t>chlorpyrifos</w:t>
      </w:r>
      <w:proofErr w:type="spellEnd"/>
      <w:r>
        <w:t xml:space="preserve"> absorbed would be expected to be 400 hours * (0.436 </w:t>
      </w:r>
      <w:proofErr w:type="spellStart"/>
      <w:r>
        <w:t>nmole</w:t>
      </w:r>
      <w:proofErr w:type="spellEnd"/>
      <w:r>
        <w:t xml:space="preserve">/kg-day)*83.9 kg body weight/24 hrs/day= 610 </w:t>
      </w:r>
      <w:proofErr w:type="spellStart"/>
      <w:r>
        <w:t>nmoles</w:t>
      </w:r>
      <w:proofErr w:type="spellEnd"/>
      <w:r>
        <w:t xml:space="preserve"> = 0.61 µmoles.  It can be seen in Table </w:t>
      </w:r>
      <w:r w:rsidR="007824B5">
        <w:t>S3</w:t>
      </w:r>
      <w:r>
        <w:t xml:space="preserve"> that with zero metabolism, all of the absorbed </w:t>
      </w:r>
      <w:proofErr w:type="spellStart"/>
      <w:r>
        <w:t>chlorpyrifos</w:t>
      </w:r>
      <w:proofErr w:type="spellEnd"/>
      <w:r>
        <w:t xml:space="preserve"> is accounted for, and is distributed among the compartments in reasonable proportion to the partition coefficients.  The one exception is the fat compartment which, at 400 hours, has somewhat less than its expected full steady state concentration.  In the light of these results we reluctantly conclude that we cannot reconcile the low inhalation dose/blood level ratio implied by the </w:t>
      </w:r>
      <w:proofErr w:type="spellStart"/>
      <w:r>
        <w:t>Timchalk</w:t>
      </w:r>
      <w:proofErr w:type="spellEnd"/>
      <w:r>
        <w:t xml:space="preserve"> presentation with the results of our own modeling.</w:t>
      </w:r>
    </w:p>
    <w:p w:rsidR="00FE0200" w:rsidRDefault="00FE0200" w:rsidP="00FE0200">
      <w:pPr>
        <w:pStyle w:val="Body"/>
      </w:pPr>
      <w:r>
        <w:t xml:space="preserve">Unfortunately neither the original </w:t>
      </w:r>
      <w:proofErr w:type="spellStart"/>
      <w:r>
        <w:t>Timchalk</w:t>
      </w:r>
      <w:proofErr w:type="spellEnd"/>
      <w:r>
        <w:t xml:space="preserve"> et al paper and hearing presentation nor the Lowe et al. adaptation for pregnancy provide estimates of the uncertainty of their modeling results for an average person, or the expected person-to-person variability of the blood levels expected in their model for a given dose.  Also absent are confidence limits for the estimates of parameters making up the human model.  The basic calibration of the original human model was based on in vitro observations of activating and detoxifying reactions in </w:t>
      </w:r>
      <w:proofErr w:type="spellStart"/>
      <w:r>
        <w:t>microsome</w:t>
      </w:r>
      <w:proofErr w:type="spellEnd"/>
      <w:r>
        <w:t xml:space="preserve"> preparations from rats.  </w:t>
      </w:r>
    </w:p>
    <w:p w:rsidR="003C352E" w:rsidRDefault="003C352E" w:rsidP="003C352E">
      <w:pPr>
        <w:pStyle w:val="Body"/>
      </w:pPr>
      <w:r>
        <w:t xml:space="preserve">And although </w:t>
      </w:r>
      <w:proofErr w:type="spellStart"/>
      <w:r>
        <w:t>Timchalk</w:t>
      </w:r>
      <w:proofErr w:type="spellEnd"/>
      <w:r>
        <w:t xml:space="preserve"> mentions several updates to the model to accommodate more recent information, none of these apparently includes a recalibration of the human metabolism parameters</w:t>
      </w:r>
      <w:r w:rsidR="004375A8">
        <w:fldChar w:fldCharType="begin"/>
      </w:r>
      <w:r w:rsidR="002B6D02">
        <w:instrText xml:space="preserve"> ADDIN EN.CITE &lt;EndNote&gt;&lt;Cite&gt;&lt;Author&gt;Timchalk&lt;/Author&gt;&lt;Year&gt;2008&lt;/Year&gt;&lt;RecNum&gt;202&lt;/RecNum&gt;&lt;DisplayText&gt;&lt;style face="superscript"&gt;(8)&lt;/style&gt;&lt;/DisplayText&gt;&lt;record&gt;&lt;rec-number&gt;202&lt;/rec-number&gt;&lt;foreign-keys&gt;&lt;key app="EN" db-id="xftvffafmwpe0fedf055pwp7ts95t0ta0v0a"&gt;202&lt;/key&gt;&lt;/foreign-keys&gt;&lt;ref-type name="Report"&gt;27&lt;/ref-type&gt;&lt;contributors&gt;&lt;authors&gt;&lt;author&gt;Timchalk, C.&lt;/author&gt;&lt;/authors&gt;&lt;/contributors&gt;&lt;titles&gt;&lt;title&gt;PBPK/PD Model Simulation of Dosimetry for Chlorpyrifos following Inhalation Exposure&lt;/title&gt;&lt;/titles&gt;&lt;dates&gt;&lt;year&gt;2008&lt;/year&gt;&lt;pub-dates&gt;&lt;date&gt;August 28, 2008&lt;/date&gt;&lt;/pub-dates&gt;&lt;/dates&gt;&lt;publisher&gt;Center for Biological Monitoring &amp;amp; Modeling, Battelle&lt;/publisher&gt;&lt;urls&gt;&lt;/urls&gt;&lt;/record&gt;&lt;/Cite&gt;&lt;/EndNote&gt;</w:instrText>
      </w:r>
      <w:r w:rsidR="004375A8">
        <w:fldChar w:fldCharType="separate"/>
      </w:r>
      <w:r w:rsidR="002B6D02" w:rsidRPr="002B6D02">
        <w:rPr>
          <w:noProof/>
          <w:vertAlign w:val="superscript"/>
        </w:rPr>
        <w:t>(</w:t>
      </w:r>
      <w:hyperlink w:anchor="_ENREF_8" w:tooltip="Timchalk, 2008 #202" w:history="1">
        <w:r w:rsidR="002B6D02" w:rsidRPr="002B6D02">
          <w:rPr>
            <w:noProof/>
            <w:vertAlign w:val="superscript"/>
          </w:rPr>
          <w:t>8</w:t>
        </w:r>
      </w:hyperlink>
      <w:r w:rsidR="002B6D02" w:rsidRPr="002B6D02">
        <w:rPr>
          <w:noProof/>
          <w:vertAlign w:val="superscript"/>
        </w:rPr>
        <w:t>)</w:t>
      </w:r>
      <w:r w:rsidR="004375A8">
        <w:fldChar w:fldCharType="end"/>
      </w:r>
      <w:r>
        <w:t xml:space="preserve"> based on in vivo or in vitro measurements of metabolism in humans.  The consequences of uncertainty in metabolic rates are limited in this case by a common convention in PBPK modeling, which places all </w:t>
      </w:r>
      <w:proofErr w:type="gramStart"/>
      <w:r>
        <w:t>metabolism</w:t>
      </w:r>
      <w:proofErr w:type="gramEnd"/>
      <w:r>
        <w:t xml:space="preserve"> in the liver.  If nearly all metabolism is in fact in the liver, and if metabolism is expected to be rapid enough that a large fraction of </w:t>
      </w:r>
      <w:proofErr w:type="spellStart"/>
      <w:r>
        <w:t>chlorpyrifos</w:t>
      </w:r>
      <w:proofErr w:type="spellEnd"/>
      <w:r>
        <w:t xml:space="preserve"> entering the liver is metabolized before exiting to the venous circulation, then the whole-body elimination rate of primarily determined by the liver blood flow rate and the fraction of the whole body burden of </w:t>
      </w:r>
      <w:proofErr w:type="spellStart"/>
      <w:r>
        <w:t>chlorpyrifos</w:t>
      </w:r>
      <w:proofErr w:type="spellEnd"/>
      <w:r>
        <w:t xml:space="preserve"> that is contained in that blood (</w:t>
      </w:r>
      <w:proofErr w:type="spellStart"/>
      <w:r>
        <w:t>vs</w:t>
      </w:r>
      <w:proofErr w:type="spellEnd"/>
      <w:r>
        <w:t xml:space="preserve"> storage compartments such as fat).   One alteration in the Lowe et al. paper from the original </w:t>
      </w:r>
      <w:proofErr w:type="spellStart"/>
      <w:r>
        <w:t>Timchalk</w:t>
      </w:r>
      <w:proofErr w:type="spellEnd"/>
      <w:r>
        <w:t xml:space="preserve"> (2002) model assumptions is a reduction in the fat blood partition </w:t>
      </w:r>
      <w:proofErr w:type="spellStart"/>
      <w:r>
        <w:t>cofficients</w:t>
      </w:r>
      <w:proofErr w:type="spellEnd"/>
      <w:r>
        <w:t xml:space="preserve"> for </w:t>
      </w:r>
      <w:proofErr w:type="spellStart"/>
      <w:r>
        <w:t>nonpregnant</w:t>
      </w:r>
      <w:proofErr w:type="spellEnd"/>
      <w:r>
        <w:t xml:space="preserve"> people from the 435 originally calculated by </w:t>
      </w:r>
      <w:proofErr w:type="spellStart"/>
      <w:r>
        <w:t>Timchalk</w:t>
      </w:r>
      <w:proofErr w:type="spellEnd"/>
      <w:r>
        <w:t xml:space="preserve"> to 178, based on new measurements.  A further reduction to 121 is indicated for the third trimester of pregnancy because of the increased fat content of maternal plasma in late gestation.  Other modifications of compartment sizes and partition coefficients with pregnancy are documented in Table S4. These changes are not expected to alter the expected rate of loss of </w:t>
      </w:r>
      <w:proofErr w:type="spellStart"/>
      <w:r>
        <w:t>chlorpyrifos</w:t>
      </w:r>
      <w:proofErr w:type="spellEnd"/>
      <w:r>
        <w:t xml:space="preserve"> from blood passing through the liver, but the reduced tissue/blood partition coefficients increase the faction of the whole body burden delivered to the liver per unit time so that the expected whole body half-life is reduced by several fold with the increase in blood fat content (data not shown).</w:t>
      </w:r>
    </w:p>
    <w:p w:rsidR="003C352E" w:rsidRDefault="003C352E" w:rsidP="00FE0200">
      <w:pPr>
        <w:pStyle w:val="Body"/>
      </w:pPr>
    </w:p>
    <w:p w:rsidR="00FE0200" w:rsidRPr="00E15A51" w:rsidRDefault="00FE0200" w:rsidP="00FE0200">
      <w:pPr>
        <w:pBdr>
          <w:bottom w:val="single" w:sz="24" w:space="1" w:color="auto"/>
        </w:pBdr>
        <w:jc w:val="center"/>
        <w:rPr>
          <w:rFonts w:ascii="Times New Roman" w:hAnsi="Times New Roman"/>
        </w:rPr>
      </w:pPr>
      <w:r>
        <w:br w:type="page"/>
      </w:r>
      <w:r w:rsidRPr="00974F15">
        <w:rPr>
          <w:b/>
        </w:rPr>
        <w:lastRenderedPageBreak/>
        <w:t xml:space="preserve">Table </w:t>
      </w:r>
      <w:r w:rsidR="007824B5">
        <w:rPr>
          <w:b/>
        </w:rPr>
        <w:t>S3</w:t>
      </w:r>
      <w:r w:rsidRPr="00974F15">
        <w:rPr>
          <w:b/>
        </w:rPr>
        <w:t>.</w:t>
      </w:r>
      <w:r>
        <w:rPr>
          <w:b/>
        </w:rPr>
        <w:t xml:space="preserve"> </w:t>
      </w:r>
      <w:r>
        <w:t xml:space="preserve">400 Hour Compartmental Contents of the Inhalation Model Variant Exposed to 153 </w:t>
      </w:r>
      <w:proofErr w:type="spellStart"/>
      <w:r>
        <w:t>ng</w:t>
      </w:r>
      <w:proofErr w:type="spellEnd"/>
      <w:r>
        <w:t>/kg Body Weight per Day with No Metabolism</w:t>
      </w:r>
    </w:p>
    <w:tbl>
      <w:tblPr>
        <w:tblW w:w="9555" w:type="dxa"/>
        <w:tblInd w:w="93" w:type="dxa"/>
        <w:tblBorders>
          <w:bottom w:val="single" w:sz="24" w:space="0" w:color="auto"/>
        </w:tblBorders>
        <w:tblLayout w:type="fixed"/>
        <w:tblLook w:val="04A0"/>
      </w:tblPr>
      <w:tblGrid>
        <w:gridCol w:w="1455"/>
        <w:gridCol w:w="1475"/>
        <w:gridCol w:w="1080"/>
        <w:gridCol w:w="1350"/>
        <w:gridCol w:w="1440"/>
        <w:gridCol w:w="1405"/>
        <w:gridCol w:w="1350"/>
      </w:tblGrid>
      <w:tr w:rsidR="00FE0200" w:rsidRPr="0029021D" w:rsidTr="003C352E">
        <w:trPr>
          <w:trHeight w:val="300"/>
        </w:trPr>
        <w:tc>
          <w:tcPr>
            <w:tcW w:w="1455"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p>
        </w:tc>
        <w:tc>
          <w:tcPr>
            <w:tcW w:w="1475"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Tissue volumes (liters)</w:t>
            </w:r>
          </w:p>
        </w:tc>
        <w:tc>
          <w:tcPr>
            <w:tcW w:w="1080"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proofErr w:type="spellStart"/>
            <w:r w:rsidRPr="0029021D">
              <w:rPr>
                <w:rFonts w:ascii="Times New Roman" w:eastAsia="Times New Roman" w:hAnsi="Times New Roman" w:cs="Times New Roman"/>
                <w:sz w:val="20"/>
                <w:szCs w:val="20"/>
                <w:lang w:eastAsia="en-US"/>
              </w:rPr>
              <w:t>Nmoles</w:t>
            </w:r>
            <w:proofErr w:type="spellEnd"/>
            <w:r w:rsidRPr="0029021D">
              <w:rPr>
                <w:rFonts w:ascii="Times New Roman" w:eastAsia="Times New Roman" w:hAnsi="Times New Roman" w:cs="Times New Roman"/>
                <w:sz w:val="20"/>
                <w:szCs w:val="20"/>
                <w:lang w:eastAsia="en-US"/>
              </w:rPr>
              <w:t xml:space="preserve"> CPF at 400 hours</w:t>
            </w:r>
          </w:p>
        </w:tc>
        <w:tc>
          <w:tcPr>
            <w:tcW w:w="1350"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CPF Concentration pg/g</w:t>
            </w:r>
          </w:p>
        </w:tc>
        <w:tc>
          <w:tcPr>
            <w:tcW w:w="1440"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proofErr w:type="spellStart"/>
            <w:r w:rsidRPr="0029021D">
              <w:rPr>
                <w:rFonts w:ascii="Times New Roman" w:eastAsia="Times New Roman" w:hAnsi="Times New Roman" w:cs="Times New Roman"/>
                <w:sz w:val="20"/>
                <w:szCs w:val="20"/>
                <w:lang w:eastAsia="en-US"/>
              </w:rPr>
              <w:t>Dosimetry</w:t>
            </w:r>
            <w:proofErr w:type="spellEnd"/>
            <w:r w:rsidRPr="0029021D">
              <w:rPr>
                <w:rFonts w:ascii="Times New Roman" w:eastAsia="Times New Roman" w:hAnsi="Times New Roman" w:cs="Times New Roman"/>
                <w:sz w:val="20"/>
                <w:szCs w:val="20"/>
                <w:lang w:eastAsia="en-US"/>
              </w:rPr>
              <w:t xml:space="preserve"> ratio (</w:t>
            </w:r>
            <w:proofErr w:type="spellStart"/>
            <w:r w:rsidRPr="0029021D">
              <w:rPr>
                <w:rFonts w:ascii="Times New Roman" w:eastAsia="Times New Roman" w:hAnsi="Times New Roman" w:cs="Times New Roman"/>
                <w:sz w:val="20"/>
                <w:szCs w:val="20"/>
                <w:lang w:eastAsia="en-US"/>
              </w:rPr>
              <w:t>ng</w:t>
            </w:r>
            <w:proofErr w:type="spellEnd"/>
            <w:r w:rsidRPr="0029021D">
              <w:rPr>
                <w:rFonts w:ascii="Times New Roman" w:eastAsia="Times New Roman" w:hAnsi="Times New Roman" w:cs="Times New Roman"/>
                <w:sz w:val="20"/>
                <w:szCs w:val="20"/>
                <w:lang w:eastAsia="en-US"/>
              </w:rPr>
              <w:t>/kg-day)/(pg/g conc. In blood)</w:t>
            </w:r>
          </w:p>
        </w:tc>
        <w:tc>
          <w:tcPr>
            <w:tcW w:w="1405"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 xml:space="preserve">Tissue/venous blood </w:t>
            </w:r>
            <w:proofErr w:type="spellStart"/>
            <w:r w:rsidRPr="0029021D">
              <w:rPr>
                <w:rFonts w:ascii="Times New Roman" w:eastAsia="Times New Roman" w:hAnsi="Times New Roman" w:cs="Times New Roman"/>
                <w:sz w:val="20"/>
                <w:szCs w:val="20"/>
                <w:lang w:eastAsia="en-US"/>
              </w:rPr>
              <w:t>conc</w:t>
            </w:r>
            <w:proofErr w:type="spellEnd"/>
          </w:p>
        </w:tc>
        <w:tc>
          <w:tcPr>
            <w:tcW w:w="1350" w:type="dxa"/>
            <w:shd w:val="clear" w:color="auto" w:fill="auto"/>
            <w:noWrap/>
            <w:vAlign w:val="bottom"/>
            <w:hideMark/>
          </w:tcPr>
          <w:p w:rsidR="00FE0200" w:rsidRPr="0029021D" w:rsidRDefault="00FE0200" w:rsidP="003C352E">
            <w:pPr>
              <w:rPr>
                <w:rFonts w:ascii="Times" w:eastAsia="Times New Roman" w:hAnsi="Times" w:cs="Times New Roman"/>
                <w:sz w:val="20"/>
                <w:szCs w:val="20"/>
                <w:lang w:eastAsia="en-US"/>
              </w:rPr>
            </w:pPr>
            <w:r w:rsidRPr="0029021D">
              <w:rPr>
                <w:rFonts w:ascii="Times" w:eastAsia="Times New Roman" w:hAnsi="Times" w:cs="Times New Roman"/>
                <w:sz w:val="20"/>
                <w:szCs w:val="20"/>
                <w:lang w:eastAsia="en-US"/>
              </w:rPr>
              <w:t>Input tissue/blood partition coefficient</w:t>
            </w:r>
          </w:p>
        </w:tc>
      </w:tr>
      <w:tr w:rsidR="00FE0200" w:rsidRPr="0029021D" w:rsidTr="003C352E">
        <w:trPr>
          <w:trHeight w:val="300"/>
        </w:trPr>
        <w:tc>
          <w:tcPr>
            <w:tcW w:w="1455"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Arterial blood</w:t>
            </w:r>
          </w:p>
        </w:tc>
        <w:tc>
          <w:tcPr>
            <w:tcW w:w="1475"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2.1</w:t>
            </w:r>
          </w:p>
        </w:tc>
        <w:tc>
          <w:tcPr>
            <w:tcW w:w="1080"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0.47</w:t>
            </w:r>
          </w:p>
        </w:tc>
        <w:tc>
          <w:tcPr>
            <w:tcW w:w="1350"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80</w:t>
            </w:r>
          </w:p>
        </w:tc>
        <w:tc>
          <w:tcPr>
            <w:tcW w:w="1440"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1.90</w:t>
            </w:r>
          </w:p>
        </w:tc>
        <w:tc>
          <w:tcPr>
            <w:tcW w:w="1405"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p>
        </w:tc>
        <w:tc>
          <w:tcPr>
            <w:tcW w:w="1350" w:type="dxa"/>
            <w:shd w:val="clear" w:color="auto" w:fill="auto"/>
            <w:noWrap/>
            <w:vAlign w:val="bottom"/>
            <w:hideMark/>
          </w:tcPr>
          <w:p w:rsidR="00FE0200" w:rsidRPr="0029021D" w:rsidRDefault="00FE0200" w:rsidP="003C352E">
            <w:pPr>
              <w:jc w:val="center"/>
              <w:rPr>
                <w:rFonts w:ascii="Times" w:eastAsia="Times New Roman" w:hAnsi="Times" w:cs="Times New Roman"/>
                <w:sz w:val="20"/>
                <w:szCs w:val="20"/>
                <w:lang w:eastAsia="en-US"/>
              </w:rPr>
            </w:pPr>
            <w:r w:rsidRPr="0029021D">
              <w:rPr>
                <w:rFonts w:ascii="Times" w:eastAsia="Times New Roman" w:hAnsi="Times" w:cs="Times New Roman"/>
                <w:sz w:val="20"/>
                <w:szCs w:val="20"/>
                <w:lang w:eastAsia="en-US"/>
              </w:rPr>
              <w:t>1.0</w:t>
            </w:r>
          </w:p>
        </w:tc>
      </w:tr>
      <w:tr w:rsidR="00FE0200" w:rsidRPr="0029021D" w:rsidTr="003C352E">
        <w:trPr>
          <w:trHeight w:val="300"/>
        </w:trPr>
        <w:tc>
          <w:tcPr>
            <w:tcW w:w="1455"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Venous blood</w:t>
            </w:r>
          </w:p>
        </w:tc>
        <w:tc>
          <w:tcPr>
            <w:tcW w:w="1475"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3.8</w:t>
            </w:r>
          </w:p>
        </w:tc>
        <w:tc>
          <w:tcPr>
            <w:tcW w:w="1080"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0.86</w:t>
            </w:r>
          </w:p>
        </w:tc>
        <w:tc>
          <w:tcPr>
            <w:tcW w:w="1350"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79</w:t>
            </w:r>
          </w:p>
        </w:tc>
        <w:tc>
          <w:tcPr>
            <w:tcW w:w="1440"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1.93</w:t>
            </w:r>
          </w:p>
        </w:tc>
        <w:tc>
          <w:tcPr>
            <w:tcW w:w="1405"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p>
        </w:tc>
        <w:tc>
          <w:tcPr>
            <w:tcW w:w="1350" w:type="dxa"/>
            <w:shd w:val="clear" w:color="auto" w:fill="auto"/>
            <w:noWrap/>
            <w:vAlign w:val="bottom"/>
            <w:hideMark/>
          </w:tcPr>
          <w:p w:rsidR="00FE0200" w:rsidRPr="0029021D" w:rsidRDefault="00FE0200" w:rsidP="003C352E">
            <w:pPr>
              <w:jc w:val="center"/>
              <w:rPr>
                <w:rFonts w:ascii="Times" w:eastAsia="Times New Roman" w:hAnsi="Times" w:cs="Times New Roman"/>
                <w:sz w:val="20"/>
                <w:szCs w:val="20"/>
                <w:lang w:eastAsia="en-US"/>
              </w:rPr>
            </w:pPr>
            <w:r w:rsidRPr="0029021D">
              <w:rPr>
                <w:rFonts w:ascii="Times" w:eastAsia="Times New Roman" w:hAnsi="Times" w:cs="Times New Roman"/>
                <w:sz w:val="20"/>
                <w:szCs w:val="20"/>
                <w:lang w:eastAsia="en-US"/>
              </w:rPr>
              <w:t>1.0</w:t>
            </w:r>
          </w:p>
        </w:tc>
      </w:tr>
      <w:tr w:rsidR="00FE0200" w:rsidRPr="0029021D" w:rsidTr="003C352E">
        <w:trPr>
          <w:trHeight w:val="300"/>
        </w:trPr>
        <w:tc>
          <w:tcPr>
            <w:tcW w:w="1455"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Liver</w:t>
            </w:r>
          </w:p>
        </w:tc>
        <w:tc>
          <w:tcPr>
            <w:tcW w:w="1475"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1.7</w:t>
            </w:r>
          </w:p>
        </w:tc>
        <w:tc>
          <w:tcPr>
            <w:tcW w:w="1080"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2.36</w:t>
            </w:r>
          </w:p>
        </w:tc>
        <w:tc>
          <w:tcPr>
            <w:tcW w:w="1350"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492</w:t>
            </w:r>
          </w:p>
        </w:tc>
        <w:tc>
          <w:tcPr>
            <w:tcW w:w="1440"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p>
        </w:tc>
        <w:tc>
          <w:tcPr>
            <w:tcW w:w="1405"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6.22</w:t>
            </w:r>
          </w:p>
        </w:tc>
        <w:tc>
          <w:tcPr>
            <w:tcW w:w="1350" w:type="dxa"/>
            <w:shd w:val="clear" w:color="auto" w:fill="auto"/>
            <w:noWrap/>
            <w:vAlign w:val="bottom"/>
            <w:hideMark/>
          </w:tcPr>
          <w:p w:rsidR="00FE0200" w:rsidRPr="0029021D" w:rsidRDefault="00FE0200" w:rsidP="003C352E">
            <w:pPr>
              <w:jc w:val="center"/>
              <w:rPr>
                <w:rFonts w:ascii="Times" w:eastAsia="Times New Roman" w:hAnsi="Times" w:cs="Times New Roman"/>
                <w:sz w:val="20"/>
                <w:szCs w:val="20"/>
                <w:lang w:eastAsia="en-US"/>
              </w:rPr>
            </w:pPr>
            <w:r w:rsidRPr="0029021D">
              <w:rPr>
                <w:rFonts w:ascii="Times" w:eastAsia="Times New Roman" w:hAnsi="Times" w:cs="Times New Roman"/>
                <w:sz w:val="20"/>
                <w:szCs w:val="20"/>
                <w:lang w:eastAsia="en-US"/>
              </w:rPr>
              <w:t>6.1</w:t>
            </w:r>
          </w:p>
        </w:tc>
      </w:tr>
      <w:tr w:rsidR="00FE0200" w:rsidRPr="0029021D" w:rsidTr="003C352E">
        <w:trPr>
          <w:trHeight w:val="300"/>
        </w:trPr>
        <w:tc>
          <w:tcPr>
            <w:tcW w:w="1455"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Brain</w:t>
            </w:r>
          </w:p>
        </w:tc>
        <w:tc>
          <w:tcPr>
            <w:tcW w:w="1475"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1.1</w:t>
            </w:r>
          </w:p>
        </w:tc>
        <w:tc>
          <w:tcPr>
            <w:tcW w:w="1080"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2.36</w:t>
            </w:r>
          </w:p>
        </w:tc>
        <w:tc>
          <w:tcPr>
            <w:tcW w:w="1350"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738</w:t>
            </w:r>
          </w:p>
        </w:tc>
        <w:tc>
          <w:tcPr>
            <w:tcW w:w="1440"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p>
        </w:tc>
        <w:tc>
          <w:tcPr>
            <w:tcW w:w="1405"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9.33</w:t>
            </w:r>
          </w:p>
        </w:tc>
        <w:tc>
          <w:tcPr>
            <w:tcW w:w="1350" w:type="dxa"/>
            <w:shd w:val="clear" w:color="auto" w:fill="auto"/>
            <w:noWrap/>
            <w:vAlign w:val="bottom"/>
            <w:hideMark/>
          </w:tcPr>
          <w:p w:rsidR="00FE0200" w:rsidRPr="0029021D" w:rsidRDefault="00FE0200" w:rsidP="003C352E">
            <w:pPr>
              <w:jc w:val="center"/>
              <w:rPr>
                <w:rFonts w:ascii="Times" w:eastAsia="Times New Roman" w:hAnsi="Times" w:cs="Times New Roman"/>
                <w:sz w:val="20"/>
                <w:szCs w:val="20"/>
                <w:lang w:eastAsia="en-US"/>
              </w:rPr>
            </w:pPr>
            <w:r w:rsidRPr="0029021D">
              <w:rPr>
                <w:rFonts w:ascii="Times" w:eastAsia="Times New Roman" w:hAnsi="Times" w:cs="Times New Roman"/>
                <w:sz w:val="20"/>
                <w:szCs w:val="20"/>
                <w:lang w:eastAsia="en-US"/>
              </w:rPr>
              <w:t>9.2</w:t>
            </w:r>
          </w:p>
        </w:tc>
      </w:tr>
      <w:tr w:rsidR="00FE0200" w:rsidRPr="0029021D" w:rsidTr="003C352E">
        <w:trPr>
          <w:trHeight w:val="300"/>
        </w:trPr>
        <w:tc>
          <w:tcPr>
            <w:tcW w:w="1455"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proofErr w:type="spellStart"/>
            <w:r w:rsidRPr="0029021D">
              <w:rPr>
                <w:rFonts w:ascii="Times New Roman" w:eastAsia="Times New Roman" w:hAnsi="Times New Roman" w:cs="Times New Roman"/>
                <w:sz w:val="20"/>
                <w:szCs w:val="20"/>
                <w:lang w:eastAsia="en-US"/>
              </w:rPr>
              <w:t>diaphram</w:t>
            </w:r>
            <w:proofErr w:type="spellEnd"/>
          </w:p>
        </w:tc>
        <w:tc>
          <w:tcPr>
            <w:tcW w:w="1475"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0.017</w:t>
            </w:r>
          </w:p>
        </w:tc>
        <w:tc>
          <w:tcPr>
            <w:tcW w:w="1080"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0.01</w:t>
            </w:r>
          </w:p>
        </w:tc>
        <w:tc>
          <w:tcPr>
            <w:tcW w:w="1350"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134</w:t>
            </w:r>
          </w:p>
        </w:tc>
        <w:tc>
          <w:tcPr>
            <w:tcW w:w="1440"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p>
        </w:tc>
        <w:tc>
          <w:tcPr>
            <w:tcW w:w="1405"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1.70</w:t>
            </w:r>
          </w:p>
        </w:tc>
        <w:tc>
          <w:tcPr>
            <w:tcW w:w="1350" w:type="dxa"/>
            <w:shd w:val="clear" w:color="auto" w:fill="auto"/>
            <w:noWrap/>
            <w:vAlign w:val="bottom"/>
            <w:hideMark/>
          </w:tcPr>
          <w:p w:rsidR="00FE0200" w:rsidRPr="0029021D" w:rsidRDefault="00FE0200" w:rsidP="003C352E">
            <w:pPr>
              <w:jc w:val="center"/>
              <w:rPr>
                <w:rFonts w:ascii="Times" w:eastAsia="Times New Roman" w:hAnsi="Times" w:cs="Times New Roman"/>
                <w:sz w:val="20"/>
                <w:szCs w:val="20"/>
                <w:lang w:eastAsia="en-US"/>
              </w:rPr>
            </w:pPr>
            <w:r w:rsidRPr="0029021D">
              <w:rPr>
                <w:rFonts w:ascii="Times" w:eastAsia="Times New Roman" w:hAnsi="Times" w:cs="Times New Roman"/>
                <w:sz w:val="20"/>
                <w:szCs w:val="20"/>
                <w:lang w:eastAsia="en-US"/>
              </w:rPr>
              <w:t>1.7</w:t>
            </w:r>
          </w:p>
        </w:tc>
      </w:tr>
      <w:tr w:rsidR="00FE0200" w:rsidRPr="0029021D" w:rsidTr="003C352E">
        <w:trPr>
          <w:trHeight w:val="300"/>
        </w:trPr>
        <w:tc>
          <w:tcPr>
            <w:tcW w:w="1455"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proofErr w:type="spellStart"/>
            <w:r w:rsidRPr="0029021D">
              <w:rPr>
                <w:rFonts w:ascii="Times New Roman" w:eastAsia="Times New Roman" w:hAnsi="Times New Roman" w:cs="Times New Roman"/>
                <w:sz w:val="20"/>
                <w:szCs w:val="20"/>
                <w:lang w:eastAsia="en-US"/>
              </w:rPr>
              <w:t>raidly</w:t>
            </w:r>
            <w:proofErr w:type="spellEnd"/>
            <w:r w:rsidRPr="0029021D">
              <w:rPr>
                <w:rFonts w:ascii="Times New Roman" w:eastAsia="Times New Roman" w:hAnsi="Times New Roman" w:cs="Times New Roman"/>
                <w:sz w:val="20"/>
                <w:szCs w:val="20"/>
                <w:lang w:eastAsia="en-US"/>
              </w:rPr>
              <w:t xml:space="preserve"> </w:t>
            </w:r>
            <w:proofErr w:type="spellStart"/>
            <w:r w:rsidRPr="0029021D">
              <w:rPr>
                <w:rFonts w:ascii="Times New Roman" w:eastAsia="Times New Roman" w:hAnsi="Times New Roman" w:cs="Times New Roman"/>
                <w:sz w:val="20"/>
                <w:szCs w:val="20"/>
                <w:lang w:eastAsia="en-US"/>
              </w:rPr>
              <w:t>perfused</w:t>
            </w:r>
            <w:proofErr w:type="spellEnd"/>
          </w:p>
        </w:tc>
        <w:tc>
          <w:tcPr>
            <w:tcW w:w="1475"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1.9</w:t>
            </w:r>
          </w:p>
        </w:tc>
        <w:tc>
          <w:tcPr>
            <w:tcW w:w="1080"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1.23</w:t>
            </w:r>
          </w:p>
        </w:tc>
        <w:tc>
          <w:tcPr>
            <w:tcW w:w="1350"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224</w:t>
            </w:r>
          </w:p>
        </w:tc>
        <w:tc>
          <w:tcPr>
            <w:tcW w:w="1440"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p>
        </w:tc>
        <w:tc>
          <w:tcPr>
            <w:tcW w:w="1405"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2.83</w:t>
            </w:r>
          </w:p>
        </w:tc>
        <w:tc>
          <w:tcPr>
            <w:tcW w:w="1350" w:type="dxa"/>
            <w:shd w:val="clear" w:color="auto" w:fill="auto"/>
            <w:noWrap/>
            <w:vAlign w:val="bottom"/>
            <w:hideMark/>
          </w:tcPr>
          <w:p w:rsidR="00FE0200" w:rsidRPr="0029021D" w:rsidRDefault="00FE0200" w:rsidP="003C352E">
            <w:pPr>
              <w:jc w:val="center"/>
              <w:rPr>
                <w:rFonts w:ascii="Times" w:eastAsia="Times New Roman" w:hAnsi="Times" w:cs="Times New Roman"/>
                <w:sz w:val="20"/>
                <w:szCs w:val="20"/>
                <w:lang w:eastAsia="en-US"/>
              </w:rPr>
            </w:pPr>
            <w:r w:rsidRPr="0029021D">
              <w:rPr>
                <w:rFonts w:ascii="Times" w:eastAsia="Times New Roman" w:hAnsi="Times" w:cs="Times New Roman"/>
                <w:sz w:val="20"/>
                <w:szCs w:val="20"/>
                <w:lang w:eastAsia="en-US"/>
              </w:rPr>
              <w:t>2.8</w:t>
            </w:r>
          </w:p>
        </w:tc>
      </w:tr>
      <w:tr w:rsidR="00FE0200" w:rsidRPr="0029021D" w:rsidTr="003C352E">
        <w:trPr>
          <w:trHeight w:val="300"/>
        </w:trPr>
        <w:tc>
          <w:tcPr>
            <w:tcW w:w="1455"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mammary</w:t>
            </w:r>
          </w:p>
        </w:tc>
        <w:tc>
          <w:tcPr>
            <w:tcW w:w="1475"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1.1</w:t>
            </w:r>
          </w:p>
        </w:tc>
        <w:tc>
          <w:tcPr>
            <w:tcW w:w="1080"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0.71</w:t>
            </w:r>
          </w:p>
        </w:tc>
        <w:tc>
          <w:tcPr>
            <w:tcW w:w="1350"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224</w:t>
            </w:r>
          </w:p>
        </w:tc>
        <w:tc>
          <w:tcPr>
            <w:tcW w:w="1440"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p>
        </w:tc>
        <w:tc>
          <w:tcPr>
            <w:tcW w:w="1405"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2.83</w:t>
            </w:r>
          </w:p>
        </w:tc>
        <w:tc>
          <w:tcPr>
            <w:tcW w:w="1350" w:type="dxa"/>
            <w:shd w:val="clear" w:color="auto" w:fill="auto"/>
            <w:noWrap/>
            <w:vAlign w:val="bottom"/>
            <w:hideMark/>
          </w:tcPr>
          <w:p w:rsidR="00FE0200" w:rsidRPr="0029021D" w:rsidRDefault="00FE0200" w:rsidP="003C352E">
            <w:pPr>
              <w:jc w:val="center"/>
              <w:rPr>
                <w:rFonts w:ascii="Times" w:eastAsia="Times New Roman" w:hAnsi="Times" w:cs="Times New Roman"/>
                <w:sz w:val="20"/>
                <w:szCs w:val="20"/>
                <w:lang w:eastAsia="en-US"/>
              </w:rPr>
            </w:pPr>
            <w:r w:rsidRPr="0029021D">
              <w:rPr>
                <w:rFonts w:ascii="Times" w:eastAsia="Times New Roman" w:hAnsi="Times" w:cs="Times New Roman"/>
                <w:sz w:val="20"/>
                <w:szCs w:val="20"/>
                <w:lang w:eastAsia="en-US"/>
              </w:rPr>
              <w:t>2.8</w:t>
            </w:r>
          </w:p>
        </w:tc>
      </w:tr>
      <w:tr w:rsidR="00FE0200" w:rsidRPr="0029021D" w:rsidTr="003C352E">
        <w:trPr>
          <w:trHeight w:val="300"/>
        </w:trPr>
        <w:tc>
          <w:tcPr>
            <w:tcW w:w="1455"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uterus</w:t>
            </w:r>
          </w:p>
        </w:tc>
        <w:tc>
          <w:tcPr>
            <w:tcW w:w="1475"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2.6</w:t>
            </w:r>
          </w:p>
        </w:tc>
        <w:tc>
          <w:tcPr>
            <w:tcW w:w="1080"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1.66</w:t>
            </w:r>
          </w:p>
        </w:tc>
        <w:tc>
          <w:tcPr>
            <w:tcW w:w="1350"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222</w:t>
            </w:r>
          </w:p>
        </w:tc>
        <w:tc>
          <w:tcPr>
            <w:tcW w:w="1440"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p>
        </w:tc>
        <w:tc>
          <w:tcPr>
            <w:tcW w:w="1405"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2.81</w:t>
            </w:r>
          </w:p>
        </w:tc>
        <w:tc>
          <w:tcPr>
            <w:tcW w:w="1350" w:type="dxa"/>
            <w:shd w:val="clear" w:color="auto" w:fill="auto"/>
            <w:noWrap/>
            <w:vAlign w:val="bottom"/>
            <w:hideMark/>
          </w:tcPr>
          <w:p w:rsidR="00FE0200" w:rsidRPr="0029021D" w:rsidRDefault="00FE0200" w:rsidP="003C352E">
            <w:pPr>
              <w:jc w:val="center"/>
              <w:rPr>
                <w:rFonts w:ascii="Times" w:eastAsia="Times New Roman" w:hAnsi="Times" w:cs="Times New Roman"/>
                <w:sz w:val="20"/>
                <w:szCs w:val="20"/>
                <w:lang w:eastAsia="en-US"/>
              </w:rPr>
            </w:pPr>
            <w:r w:rsidRPr="0029021D">
              <w:rPr>
                <w:rFonts w:ascii="Times" w:eastAsia="Times New Roman" w:hAnsi="Times" w:cs="Times New Roman"/>
                <w:sz w:val="20"/>
                <w:szCs w:val="20"/>
                <w:lang w:eastAsia="en-US"/>
              </w:rPr>
              <w:t>2.8</w:t>
            </w:r>
          </w:p>
        </w:tc>
      </w:tr>
      <w:tr w:rsidR="00FE0200" w:rsidRPr="0029021D" w:rsidTr="003C352E">
        <w:trPr>
          <w:trHeight w:val="300"/>
        </w:trPr>
        <w:tc>
          <w:tcPr>
            <w:tcW w:w="1455"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placenta and fetus</w:t>
            </w:r>
          </w:p>
        </w:tc>
        <w:tc>
          <w:tcPr>
            <w:tcW w:w="1475"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4.0</w:t>
            </w:r>
          </w:p>
        </w:tc>
        <w:tc>
          <w:tcPr>
            <w:tcW w:w="1080"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2.57</w:t>
            </w:r>
          </w:p>
        </w:tc>
        <w:tc>
          <w:tcPr>
            <w:tcW w:w="1350"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224</w:t>
            </w:r>
          </w:p>
        </w:tc>
        <w:tc>
          <w:tcPr>
            <w:tcW w:w="1440"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p>
        </w:tc>
        <w:tc>
          <w:tcPr>
            <w:tcW w:w="1405"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2.83</w:t>
            </w:r>
          </w:p>
        </w:tc>
        <w:tc>
          <w:tcPr>
            <w:tcW w:w="1350" w:type="dxa"/>
            <w:shd w:val="clear" w:color="auto" w:fill="auto"/>
            <w:noWrap/>
            <w:vAlign w:val="bottom"/>
            <w:hideMark/>
          </w:tcPr>
          <w:p w:rsidR="00FE0200" w:rsidRPr="0029021D" w:rsidRDefault="00FE0200" w:rsidP="003C352E">
            <w:pPr>
              <w:jc w:val="center"/>
              <w:rPr>
                <w:rFonts w:ascii="Times" w:eastAsia="Times New Roman" w:hAnsi="Times" w:cs="Times New Roman"/>
                <w:sz w:val="20"/>
                <w:szCs w:val="20"/>
                <w:lang w:eastAsia="en-US"/>
              </w:rPr>
            </w:pPr>
            <w:r w:rsidRPr="0029021D">
              <w:rPr>
                <w:rFonts w:ascii="Times" w:eastAsia="Times New Roman" w:hAnsi="Times" w:cs="Times New Roman"/>
                <w:sz w:val="20"/>
                <w:szCs w:val="20"/>
                <w:lang w:eastAsia="en-US"/>
              </w:rPr>
              <w:t>2.8</w:t>
            </w:r>
          </w:p>
        </w:tc>
      </w:tr>
      <w:tr w:rsidR="00FE0200" w:rsidRPr="0029021D" w:rsidTr="003C352E">
        <w:trPr>
          <w:trHeight w:val="300"/>
        </w:trPr>
        <w:tc>
          <w:tcPr>
            <w:tcW w:w="1455"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slowly perfused</w:t>
            </w:r>
          </w:p>
        </w:tc>
        <w:tc>
          <w:tcPr>
            <w:tcW w:w="1475"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30.3</w:t>
            </w:r>
          </w:p>
        </w:tc>
        <w:tc>
          <w:tcPr>
            <w:tcW w:w="1080"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11.57</w:t>
            </w:r>
          </w:p>
        </w:tc>
        <w:tc>
          <w:tcPr>
            <w:tcW w:w="1350"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134</w:t>
            </w:r>
          </w:p>
        </w:tc>
        <w:tc>
          <w:tcPr>
            <w:tcW w:w="1440"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p>
        </w:tc>
        <w:tc>
          <w:tcPr>
            <w:tcW w:w="1405"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1.69</w:t>
            </w:r>
          </w:p>
        </w:tc>
        <w:tc>
          <w:tcPr>
            <w:tcW w:w="1350" w:type="dxa"/>
            <w:shd w:val="clear" w:color="auto" w:fill="auto"/>
            <w:noWrap/>
            <w:vAlign w:val="bottom"/>
            <w:hideMark/>
          </w:tcPr>
          <w:p w:rsidR="00FE0200" w:rsidRPr="0029021D" w:rsidRDefault="00FE0200" w:rsidP="003C352E">
            <w:pPr>
              <w:jc w:val="center"/>
              <w:rPr>
                <w:rFonts w:ascii="Times" w:eastAsia="Times New Roman" w:hAnsi="Times" w:cs="Times New Roman"/>
                <w:sz w:val="20"/>
                <w:szCs w:val="20"/>
                <w:lang w:eastAsia="en-US"/>
              </w:rPr>
            </w:pPr>
            <w:r w:rsidRPr="0029021D">
              <w:rPr>
                <w:rFonts w:ascii="Times" w:eastAsia="Times New Roman" w:hAnsi="Times" w:cs="Times New Roman"/>
                <w:sz w:val="20"/>
                <w:szCs w:val="20"/>
                <w:lang w:eastAsia="en-US"/>
              </w:rPr>
              <w:t>1.7</w:t>
            </w:r>
          </w:p>
        </w:tc>
      </w:tr>
      <w:tr w:rsidR="00FE0200" w:rsidRPr="0029021D" w:rsidTr="003C352E">
        <w:trPr>
          <w:trHeight w:val="300"/>
        </w:trPr>
        <w:tc>
          <w:tcPr>
            <w:tcW w:w="1455"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fat</w:t>
            </w:r>
          </w:p>
        </w:tc>
        <w:tc>
          <w:tcPr>
            <w:tcW w:w="1475"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29.4</w:t>
            </w:r>
          </w:p>
        </w:tc>
        <w:tc>
          <w:tcPr>
            <w:tcW w:w="1080"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584.16</w:t>
            </w:r>
          </w:p>
        </w:tc>
        <w:tc>
          <w:tcPr>
            <w:tcW w:w="1350"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6967</w:t>
            </w:r>
          </w:p>
        </w:tc>
        <w:tc>
          <w:tcPr>
            <w:tcW w:w="1440"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p>
        </w:tc>
        <w:tc>
          <w:tcPr>
            <w:tcW w:w="1405"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88.10</w:t>
            </w:r>
          </w:p>
        </w:tc>
        <w:tc>
          <w:tcPr>
            <w:tcW w:w="1350" w:type="dxa"/>
            <w:shd w:val="clear" w:color="auto" w:fill="auto"/>
            <w:noWrap/>
            <w:vAlign w:val="bottom"/>
            <w:hideMark/>
          </w:tcPr>
          <w:p w:rsidR="00FE0200" w:rsidRPr="0029021D" w:rsidRDefault="00FE0200" w:rsidP="003C352E">
            <w:pPr>
              <w:jc w:val="center"/>
              <w:rPr>
                <w:rFonts w:ascii="Times" w:eastAsia="Times New Roman" w:hAnsi="Times" w:cs="Times New Roman"/>
                <w:sz w:val="20"/>
                <w:szCs w:val="20"/>
                <w:lang w:eastAsia="en-US"/>
              </w:rPr>
            </w:pPr>
            <w:r w:rsidRPr="0029021D">
              <w:rPr>
                <w:rFonts w:ascii="Times" w:eastAsia="Times New Roman" w:hAnsi="Times" w:cs="Times New Roman"/>
                <w:sz w:val="20"/>
                <w:szCs w:val="20"/>
                <w:lang w:eastAsia="en-US"/>
              </w:rPr>
              <w:t>121</w:t>
            </w:r>
          </w:p>
        </w:tc>
      </w:tr>
      <w:tr w:rsidR="00FE0200" w:rsidRPr="0029021D" w:rsidTr="003C352E">
        <w:trPr>
          <w:trHeight w:val="300"/>
        </w:trPr>
        <w:tc>
          <w:tcPr>
            <w:tcW w:w="1455"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skin</w:t>
            </w:r>
          </w:p>
        </w:tc>
        <w:tc>
          <w:tcPr>
            <w:tcW w:w="1475"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5.9</w:t>
            </w:r>
          </w:p>
        </w:tc>
        <w:tc>
          <w:tcPr>
            <w:tcW w:w="1080"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2.24</w:t>
            </w:r>
          </w:p>
        </w:tc>
        <w:tc>
          <w:tcPr>
            <w:tcW w:w="1350"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134</w:t>
            </w:r>
          </w:p>
        </w:tc>
        <w:tc>
          <w:tcPr>
            <w:tcW w:w="1440"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p>
        </w:tc>
        <w:tc>
          <w:tcPr>
            <w:tcW w:w="1405"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1.70</w:t>
            </w:r>
          </w:p>
        </w:tc>
        <w:tc>
          <w:tcPr>
            <w:tcW w:w="1350" w:type="dxa"/>
            <w:shd w:val="clear" w:color="auto" w:fill="auto"/>
            <w:noWrap/>
            <w:vAlign w:val="bottom"/>
            <w:hideMark/>
          </w:tcPr>
          <w:p w:rsidR="00FE0200" w:rsidRPr="0029021D" w:rsidRDefault="00FE0200" w:rsidP="003C352E">
            <w:pPr>
              <w:jc w:val="center"/>
              <w:rPr>
                <w:rFonts w:ascii="Times" w:eastAsia="Times New Roman" w:hAnsi="Times" w:cs="Times New Roman"/>
                <w:sz w:val="20"/>
                <w:szCs w:val="20"/>
                <w:lang w:eastAsia="en-US"/>
              </w:rPr>
            </w:pPr>
            <w:r w:rsidRPr="0029021D">
              <w:rPr>
                <w:rFonts w:ascii="Times" w:eastAsia="Times New Roman" w:hAnsi="Times" w:cs="Times New Roman"/>
                <w:sz w:val="20"/>
                <w:szCs w:val="20"/>
                <w:lang w:eastAsia="en-US"/>
              </w:rPr>
              <w:t>1.7</w:t>
            </w:r>
          </w:p>
        </w:tc>
      </w:tr>
      <w:tr w:rsidR="00FE0200" w:rsidRPr="0029021D" w:rsidTr="003C352E">
        <w:trPr>
          <w:trHeight w:val="300"/>
        </w:trPr>
        <w:tc>
          <w:tcPr>
            <w:tcW w:w="1455"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Total</w:t>
            </w:r>
          </w:p>
        </w:tc>
        <w:tc>
          <w:tcPr>
            <w:tcW w:w="1475"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83.9</w:t>
            </w:r>
          </w:p>
        </w:tc>
        <w:tc>
          <w:tcPr>
            <w:tcW w:w="1080"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r w:rsidRPr="0029021D">
              <w:rPr>
                <w:rFonts w:ascii="Times New Roman" w:eastAsia="Times New Roman" w:hAnsi="Times New Roman" w:cs="Times New Roman"/>
                <w:sz w:val="20"/>
                <w:szCs w:val="20"/>
                <w:lang w:eastAsia="en-US"/>
              </w:rPr>
              <w:t>610.19</w:t>
            </w:r>
          </w:p>
        </w:tc>
        <w:tc>
          <w:tcPr>
            <w:tcW w:w="1350"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p>
        </w:tc>
        <w:tc>
          <w:tcPr>
            <w:tcW w:w="1440"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p>
        </w:tc>
        <w:tc>
          <w:tcPr>
            <w:tcW w:w="1405" w:type="dxa"/>
            <w:shd w:val="clear" w:color="auto" w:fill="auto"/>
            <w:noWrap/>
            <w:vAlign w:val="bottom"/>
            <w:hideMark/>
          </w:tcPr>
          <w:p w:rsidR="00FE0200" w:rsidRPr="0029021D" w:rsidRDefault="00FE0200" w:rsidP="003C352E">
            <w:pPr>
              <w:jc w:val="center"/>
              <w:rPr>
                <w:rFonts w:ascii="Times New Roman" w:eastAsia="Times New Roman" w:hAnsi="Times New Roman" w:cs="Times New Roman"/>
                <w:sz w:val="20"/>
                <w:szCs w:val="20"/>
                <w:lang w:eastAsia="en-US"/>
              </w:rPr>
            </w:pPr>
          </w:p>
        </w:tc>
        <w:tc>
          <w:tcPr>
            <w:tcW w:w="1350" w:type="dxa"/>
            <w:shd w:val="clear" w:color="auto" w:fill="auto"/>
            <w:noWrap/>
            <w:vAlign w:val="bottom"/>
            <w:hideMark/>
          </w:tcPr>
          <w:p w:rsidR="00FE0200" w:rsidRPr="0029021D" w:rsidRDefault="00FE0200" w:rsidP="003C352E">
            <w:pPr>
              <w:rPr>
                <w:rFonts w:ascii="Times" w:eastAsia="Times New Roman" w:hAnsi="Times" w:cs="Times New Roman"/>
                <w:sz w:val="20"/>
                <w:szCs w:val="20"/>
                <w:lang w:eastAsia="en-US"/>
              </w:rPr>
            </w:pPr>
          </w:p>
        </w:tc>
      </w:tr>
    </w:tbl>
    <w:p w:rsidR="00FE0200" w:rsidRDefault="00FE0200" w:rsidP="00FE0200">
      <w:pPr>
        <w:rPr>
          <w:rFonts w:ascii="Times New Roman" w:hAnsi="Times New Roman"/>
        </w:rPr>
      </w:pPr>
    </w:p>
    <w:p w:rsidR="00FE0200" w:rsidRDefault="00FE0200" w:rsidP="00FE0200">
      <w:pPr>
        <w:rPr>
          <w:rFonts w:ascii="Times New Roman" w:hAnsi="Times New Roman"/>
        </w:rPr>
      </w:pPr>
      <w:r>
        <w:br w:type="page"/>
      </w:r>
    </w:p>
    <w:p w:rsidR="00FE0200" w:rsidRDefault="00FE0200" w:rsidP="00FE0200">
      <w:pPr>
        <w:pStyle w:val="Body"/>
        <w:sectPr w:rsidR="00FE0200" w:rsidSect="003C352E">
          <w:pgSz w:w="12240" w:h="15840"/>
          <w:pgMar w:top="1440" w:right="1440" w:bottom="1440" w:left="1440" w:header="720" w:footer="720" w:gutter="0"/>
          <w:cols w:space="720"/>
          <w:titlePg/>
        </w:sectPr>
      </w:pPr>
    </w:p>
    <w:p w:rsidR="00FE0200" w:rsidRPr="00974F15" w:rsidRDefault="00FE0200" w:rsidP="00FE0200">
      <w:pPr>
        <w:pStyle w:val="Body"/>
        <w:pBdr>
          <w:bottom w:val="single" w:sz="24" w:space="1" w:color="auto"/>
        </w:pBdr>
        <w:jc w:val="center"/>
        <w:rPr>
          <w:b/>
        </w:rPr>
      </w:pPr>
      <w:r>
        <w:rPr>
          <w:b/>
        </w:rPr>
        <w:lastRenderedPageBreak/>
        <w:t xml:space="preserve">Table </w:t>
      </w:r>
      <w:r w:rsidR="003C352E">
        <w:rPr>
          <w:b/>
        </w:rPr>
        <w:t>S4</w:t>
      </w:r>
      <w:r w:rsidRPr="00974F15">
        <w:rPr>
          <w:b/>
        </w:rPr>
        <w:t>.</w:t>
      </w:r>
      <w:r>
        <w:rPr>
          <w:b/>
        </w:rPr>
        <w:t xml:space="preserve"> </w:t>
      </w:r>
      <w:r>
        <w:t xml:space="preserve">Consequences of Partition Coefficient and Compartment Size Changes Between the Original </w:t>
      </w:r>
      <w:proofErr w:type="spellStart"/>
      <w:r>
        <w:t>Timchalk</w:t>
      </w:r>
      <w:proofErr w:type="spellEnd"/>
      <w:r>
        <w:t xml:space="preserve"> Model and a Model Patterned After the Lowe et al. for the Third Trimester of Pregnancy</w:t>
      </w:r>
    </w:p>
    <w:p w:rsidR="00FE0200" w:rsidRDefault="00FE0200" w:rsidP="00FE0200">
      <w:pPr>
        <w:rPr>
          <w:rFonts w:ascii="Times New Roman" w:hAnsi="Times New Roman"/>
        </w:rPr>
      </w:pPr>
    </w:p>
    <w:tbl>
      <w:tblPr>
        <w:tblW w:w="13001" w:type="dxa"/>
        <w:tblInd w:w="93" w:type="dxa"/>
        <w:tblLayout w:type="fixed"/>
        <w:tblLook w:val="04A0"/>
      </w:tblPr>
      <w:tblGrid>
        <w:gridCol w:w="1365"/>
        <w:gridCol w:w="1455"/>
        <w:gridCol w:w="1260"/>
        <w:gridCol w:w="1335"/>
        <w:gridCol w:w="1080"/>
        <w:gridCol w:w="1286"/>
        <w:gridCol w:w="1440"/>
        <w:gridCol w:w="990"/>
        <w:gridCol w:w="1350"/>
        <w:gridCol w:w="1440"/>
      </w:tblGrid>
      <w:tr w:rsidR="00FE0200" w:rsidRPr="003575BF" w:rsidTr="003C352E">
        <w:trPr>
          <w:trHeight w:val="297"/>
        </w:trPr>
        <w:tc>
          <w:tcPr>
            <w:tcW w:w="1365" w:type="dxa"/>
            <w:tcBorders>
              <w:top w:val="nil"/>
              <w:left w:val="nil"/>
              <w:bottom w:val="single" w:sz="4" w:space="0" w:color="auto"/>
              <w:right w:val="nil"/>
            </w:tcBorders>
            <w:shd w:val="clear" w:color="auto" w:fill="auto"/>
            <w:noWrap/>
            <w:vAlign w:val="bottom"/>
            <w:hideMark/>
          </w:tcPr>
          <w:p w:rsidR="00FE0200" w:rsidRPr="003575BF" w:rsidRDefault="00FE0200" w:rsidP="003C352E">
            <w:pPr>
              <w:rPr>
                <w:rFonts w:ascii="Times New Roman" w:eastAsia="Times New Roman" w:hAnsi="Times New Roman" w:cs="Times New Roman"/>
                <w:sz w:val="20"/>
                <w:szCs w:val="20"/>
                <w:lang w:eastAsia="en-US"/>
              </w:rPr>
            </w:pPr>
          </w:p>
        </w:tc>
        <w:tc>
          <w:tcPr>
            <w:tcW w:w="4050" w:type="dxa"/>
            <w:gridSpan w:val="3"/>
            <w:tcBorders>
              <w:top w:val="nil"/>
              <w:left w:val="nil"/>
              <w:bottom w:val="single" w:sz="4" w:space="0" w:color="auto"/>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Patition</w:t>
            </w:r>
            <w:proofErr w:type="spellEnd"/>
            <w:r>
              <w:rPr>
                <w:rFonts w:ascii="Times New Roman" w:eastAsia="Times New Roman" w:hAnsi="Times New Roman" w:cs="Times New Roman"/>
                <w:sz w:val="20"/>
                <w:szCs w:val="20"/>
                <w:lang w:eastAsia="en-US"/>
              </w:rPr>
              <w:t xml:space="preserve"> Coefficients Relative to Bl</w:t>
            </w:r>
            <w:r w:rsidRPr="003575BF">
              <w:rPr>
                <w:rFonts w:ascii="Times New Roman" w:eastAsia="Times New Roman" w:hAnsi="Times New Roman" w:cs="Times New Roman"/>
                <w:sz w:val="20"/>
                <w:szCs w:val="20"/>
                <w:lang w:eastAsia="en-US"/>
              </w:rPr>
              <w:t>ood</w:t>
            </w:r>
          </w:p>
        </w:tc>
        <w:tc>
          <w:tcPr>
            <w:tcW w:w="3806" w:type="dxa"/>
            <w:gridSpan w:val="3"/>
            <w:tcBorders>
              <w:top w:val="nil"/>
              <w:left w:val="nil"/>
              <w:bottom w:val="single" w:sz="4" w:space="0" w:color="auto"/>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Compartment Volumes (l)</w:t>
            </w:r>
          </w:p>
        </w:tc>
        <w:tc>
          <w:tcPr>
            <w:tcW w:w="3780" w:type="dxa"/>
            <w:gridSpan w:val="3"/>
            <w:tcBorders>
              <w:top w:val="nil"/>
              <w:left w:val="nil"/>
              <w:bottom w:val="single" w:sz="4" w:space="0" w:color="auto"/>
              <w:right w:val="nil"/>
            </w:tcBorders>
            <w:shd w:val="clear" w:color="auto" w:fill="auto"/>
            <w:noWrap/>
            <w:vAlign w:val="bottom"/>
            <w:hideMark/>
          </w:tcPr>
          <w:p w:rsidR="00FE0200" w:rsidRPr="003575BF" w:rsidRDefault="00FE0200" w:rsidP="003C352E">
            <w:pP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Blood Volume Equivalents (liters)</w:t>
            </w:r>
          </w:p>
        </w:tc>
      </w:tr>
      <w:tr w:rsidR="00FE0200" w:rsidRPr="003575BF" w:rsidTr="003C352E">
        <w:trPr>
          <w:trHeight w:val="240"/>
        </w:trPr>
        <w:tc>
          <w:tcPr>
            <w:tcW w:w="1365" w:type="dxa"/>
            <w:tcBorders>
              <w:top w:val="single" w:sz="4" w:space="0" w:color="auto"/>
              <w:left w:val="nil"/>
              <w:bottom w:val="nil"/>
              <w:right w:val="nil"/>
            </w:tcBorders>
            <w:shd w:val="clear" w:color="auto" w:fill="auto"/>
            <w:noWrap/>
            <w:vAlign w:val="bottom"/>
            <w:hideMark/>
          </w:tcPr>
          <w:p w:rsidR="00FE0200" w:rsidRPr="003575BF" w:rsidRDefault="00FE0200" w:rsidP="003C352E">
            <w:pP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Compartment</w:t>
            </w:r>
          </w:p>
        </w:tc>
        <w:tc>
          <w:tcPr>
            <w:tcW w:w="1455" w:type="dxa"/>
            <w:tcBorders>
              <w:top w:val="single" w:sz="4" w:space="0" w:color="auto"/>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Orig. </w:t>
            </w:r>
            <w:proofErr w:type="spellStart"/>
            <w:r>
              <w:rPr>
                <w:rFonts w:ascii="Times New Roman" w:eastAsia="Times New Roman" w:hAnsi="Times New Roman" w:cs="Times New Roman"/>
                <w:sz w:val="20"/>
                <w:szCs w:val="20"/>
                <w:lang w:eastAsia="en-US"/>
              </w:rPr>
              <w:t>Timchalk</w:t>
            </w:r>
            <w:proofErr w:type="spellEnd"/>
            <w:r>
              <w:rPr>
                <w:rFonts w:ascii="Times New Roman" w:eastAsia="Times New Roman" w:hAnsi="Times New Roman" w:cs="Times New Roman"/>
                <w:sz w:val="20"/>
                <w:szCs w:val="20"/>
                <w:lang w:eastAsia="en-US"/>
              </w:rPr>
              <w:t xml:space="preserve"> Model</w:t>
            </w:r>
          </w:p>
        </w:tc>
        <w:tc>
          <w:tcPr>
            <w:tcW w:w="1260" w:type="dxa"/>
            <w:tcBorders>
              <w:top w:val="single" w:sz="4" w:space="0" w:color="auto"/>
              <w:left w:val="nil"/>
              <w:bottom w:val="nil"/>
              <w:right w:val="nil"/>
            </w:tcBorders>
            <w:shd w:val="clear" w:color="auto" w:fill="auto"/>
            <w:noWrap/>
            <w:vAlign w:val="bottom"/>
            <w:hideMark/>
          </w:tcPr>
          <w:p w:rsidR="00FE0200" w:rsidRPr="003575BF" w:rsidRDefault="00FE0200" w:rsidP="003C352E">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Lowe </w:t>
            </w:r>
            <w:proofErr w:type="spellStart"/>
            <w:r w:rsidRPr="003575BF">
              <w:rPr>
                <w:rFonts w:ascii="Times New Roman" w:eastAsia="Times New Roman" w:hAnsi="Times New Roman" w:cs="Times New Roman"/>
                <w:sz w:val="20"/>
                <w:szCs w:val="20"/>
                <w:lang w:eastAsia="en-US"/>
              </w:rPr>
              <w:t>nonpregnant</w:t>
            </w:r>
            <w:proofErr w:type="spellEnd"/>
            <w:r w:rsidRPr="003575BF">
              <w:rPr>
                <w:rFonts w:ascii="Times New Roman" w:eastAsia="Times New Roman" w:hAnsi="Times New Roman" w:cs="Times New Roman"/>
                <w:sz w:val="20"/>
                <w:szCs w:val="20"/>
                <w:lang w:eastAsia="en-US"/>
              </w:rPr>
              <w:t xml:space="preserve"> </w:t>
            </w:r>
            <w:r>
              <w:rPr>
                <w:rFonts w:ascii="Times New Roman" w:eastAsia="Times New Roman" w:hAnsi="Times New Roman" w:cs="Times New Roman"/>
                <w:sz w:val="20"/>
                <w:szCs w:val="20"/>
                <w:lang w:eastAsia="en-US"/>
              </w:rPr>
              <w:t>Model</w:t>
            </w:r>
          </w:p>
        </w:tc>
        <w:tc>
          <w:tcPr>
            <w:tcW w:w="1335" w:type="dxa"/>
            <w:tcBorders>
              <w:top w:val="single" w:sz="4" w:space="0" w:color="auto"/>
              <w:left w:val="nil"/>
              <w:bottom w:val="nil"/>
              <w:right w:val="nil"/>
            </w:tcBorders>
            <w:shd w:val="clear" w:color="auto" w:fill="auto"/>
            <w:noWrap/>
            <w:vAlign w:val="bottom"/>
            <w:hideMark/>
          </w:tcPr>
          <w:p w:rsidR="00FE0200" w:rsidRPr="003575BF" w:rsidRDefault="00FE0200" w:rsidP="003C352E">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Lowe </w:t>
            </w:r>
            <w:r w:rsidRPr="003575BF">
              <w:rPr>
                <w:rFonts w:ascii="Times New Roman" w:eastAsia="Times New Roman" w:hAnsi="Times New Roman" w:cs="Times New Roman"/>
                <w:sz w:val="20"/>
                <w:szCs w:val="20"/>
                <w:lang w:eastAsia="en-US"/>
              </w:rPr>
              <w:t xml:space="preserve">CPF 37 </w:t>
            </w:r>
            <w:r>
              <w:rPr>
                <w:rFonts w:ascii="Times New Roman" w:eastAsia="Times New Roman" w:hAnsi="Times New Roman" w:cs="Times New Roman"/>
                <w:sz w:val="20"/>
                <w:szCs w:val="20"/>
                <w:lang w:eastAsia="en-US"/>
              </w:rPr>
              <w:t>Week Model</w:t>
            </w:r>
          </w:p>
        </w:tc>
        <w:tc>
          <w:tcPr>
            <w:tcW w:w="1080" w:type="dxa"/>
            <w:tcBorders>
              <w:top w:val="single" w:sz="4" w:space="0" w:color="auto"/>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Orig</w:t>
            </w:r>
            <w:r>
              <w:rPr>
                <w:rFonts w:ascii="Times New Roman" w:eastAsia="Times New Roman" w:hAnsi="Times New Roman" w:cs="Times New Roman"/>
                <w:sz w:val="20"/>
                <w:szCs w:val="20"/>
                <w:lang w:eastAsia="en-US"/>
              </w:rPr>
              <w:t>.</w:t>
            </w:r>
            <w:r w:rsidRPr="003575BF">
              <w:rPr>
                <w:rFonts w:ascii="Times New Roman" w:eastAsia="Times New Roman" w:hAnsi="Times New Roman" w:cs="Times New Roman"/>
                <w:sz w:val="20"/>
                <w:szCs w:val="20"/>
                <w:lang w:eastAsia="en-US"/>
              </w:rPr>
              <w:t xml:space="preserve"> </w:t>
            </w:r>
            <w:proofErr w:type="spellStart"/>
            <w:r w:rsidRPr="003575BF">
              <w:rPr>
                <w:rFonts w:ascii="Times New Roman" w:eastAsia="Times New Roman" w:hAnsi="Times New Roman" w:cs="Times New Roman"/>
                <w:sz w:val="20"/>
                <w:szCs w:val="20"/>
                <w:lang w:eastAsia="en-US"/>
              </w:rPr>
              <w:t>Timchalk</w:t>
            </w:r>
            <w:proofErr w:type="spellEnd"/>
          </w:p>
        </w:tc>
        <w:tc>
          <w:tcPr>
            <w:tcW w:w="1286" w:type="dxa"/>
            <w:tcBorders>
              <w:top w:val="single" w:sz="4" w:space="0" w:color="auto"/>
              <w:left w:val="nil"/>
              <w:bottom w:val="nil"/>
              <w:right w:val="nil"/>
            </w:tcBorders>
            <w:shd w:val="clear" w:color="auto" w:fill="auto"/>
            <w:noWrap/>
            <w:vAlign w:val="bottom"/>
            <w:hideMark/>
          </w:tcPr>
          <w:p w:rsidR="00FE0200" w:rsidRPr="003575BF" w:rsidRDefault="00FE0200" w:rsidP="003C352E">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Lowe </w:t>
            </w:r>
            <w:proofErr w:type="spellStart"/>
            <w:r w:rsidRPr="003575BF">
              <w:rPr>
                <w:rFonts w:ascii="Times New Roman" w:eastAsia="Times New Roman" w:hAnsi="Times New Roman" w:cs="Times New Roman"/>
                <w:sz w:val="20"/>
                <w:szCs w:val="20"/>
                <w:lang w:eastAsia="en-US"/>
              </w:rPr>
              <w:t>Nonpregnant</w:t>
            </w:r>
            <w:proofErr w:type="spellEnd"/>
          </w:p>
        </w:tc>
        <w:tc>
          <w:tcPr>
            <w:tcW w:w="1440" w:type="dxa"/>
            <w:tcBorders>
              <w:top w:val="single" w:sz="4" w:space="0" w:color="auto"/>
              <w:left w:val="nil"/>
              <w:bottom w:val="nil"/>
              <w:right w:val="nil"/>
            </w:tcBorders>
            <w:shd w:val="clear" w:color="auto" w:fill="auto"/>
            <w:noWrap/>
            <w:vAlign w:val="bottom"/>
            <w:hideMark/>
          </w:tcPr>
          <w:p w:rsidR="00FE0200" w:rsidRPr="003575BF" w:rsidRDefault="00FE0200" w:rsidP="003C352E">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Lowe </w:t>
            </w:r>
            <w:r w:rsidRPr="003575BF">
              <w:rPr>
                <w:rFonts w:ascii="Times New Roman" w:eastAsia="Times New Roman" w:hAnsi="Times New Roman" w:cs="Times New Roman"/>
                <w:sz w:val="20"/>
                <w:szCs w:val="20"/>
                <w:lang w:eastAsia="en-US"/>
              </w:rPr>
              <w:t>37 week pregnant</w:t>
            </w:r>
          </w:p>
        </w:tc>
        <w:tc>
          <w:tcPr>
            <w:tcW w:w="990" w:type="dxa"/>
            <w:tcBorders>
              <w:top w:val="single" w:sz="4" w:space="0" w:color="auto"/>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proofErr w:type="spellStart"/>
            <w:r w:rsidRPr="003575BF">
              <w:rPr>
                <w:rFonts w:ascii="Times New Roman" w:eastAsia="Times New Roman" w:hAnsi="Times New Roman" w:cs="Times New Roman"/>
                <w:sz w:val="20"/>
                <w:szCs w:val="20"/>
                <w:lang w:eastAsia="en-US"/>
              </w:rPr>
              <w:t>Orig</w:t>
            </w:r>
            <w:proofErr w:type="spellEnd"/>
            <w:r w:rsidRPr="003575BF">
              <w:rPr>
                <w:rFonts w:ascii="Times New Roman" w:eastAsia="Times New Roman" w:hAnsi="Times New Roman" w:cs="Times New Roman"/>
                <w:sz w:val="20"/>
                <w:szCs w:val="20"/>
                <w:lang w:eastAsia="en-US"/>
              </w:rPr>
              <w:t xml:space="preserve"> </w:t>
            </w:r>
            <w:proofErr w:type="spellStart"/>
            <w:r w:rsidRPr="003575BF">
              <w:rPr>
                <w:rFonts w:ascii="Times New Roman" w:eastAsia="Times New Roman" w:hAnsi="Times New Roman" w:cs="Times New Roman"/>
                <w:sz w:val="20"/>
                <w:szCs w:val="20"/>
                <w:lang w:eastAsia="en-US"/>
              </w:rPr>
              <w:t>Timchalk</w:t>
            </w:r>
            <w:proofErr w:type="spellEnd"/>
          </w:p>
        </w:tc>
        <w:tc>
          <w:tcPr>
            <w:tcW w:w="1350" w:type="dxa"/>
            <w:tcBorders>
              <w:top w:val="single" w:sz="4" w:space="0" w:color="auto"/>
              <w:left w:val="nil"/>
              <w:bottom w:val="nil"/>
              <w:right w:val="nil"/>
            </w:tcBorders>
            <w:shd w:val="clear" w:color="auto" w:fill="auto"/>
            <w:noWrap/>
            <w:vAlign w:val="bottom"/>
            <w:hideMark/>
          </w:tcPr>
          <w:p w:rsidR="00FE0200" w:rsidRPr="003575BF" w:rsidRDefault="00FE0200" w:rsidP="003C352E">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Lowe </w:t>
            </w:r>
            <w:proofErr w:type="spellStart"/>
            <w:r w:rsidRPr="003575BF">
              <w:rPr>
                <w:rFonts w:ascii="Times New Roman" w:eastAsia="Times New Roman" w:hAnsi="Times New Roman" w:cs="Times New Roman"/>
                <w:sz w:val="20"/>
                <w:szCs w:val="20"/>
                <w:lang w:eastAsia="en-US"/>
              </w:rPr>
              <w:t>Nonpregnant</w:t>
            </w:r>
            <w:proofErr w:type="spellEnd"/>
          </w:p>
        </w:tc>
        <w:tc>
          <w:tcPr>
            <w:tcW w:w="1440" w:type="dxa"/>
            <w:tcBorders>
              <w:top w:val="single" w:sz="4" w:space="0" w:color="auto"/>
              <w:left w:val="nil"/>
              <w:bottom w:val="nil"/>
              <w:right w:val="nil"/>
            </w:tcBorders>
            <w:shd w:val="clear" w:color="auto" w:fill="auto"/>
            <w:noWrap/>
            <w:vAlign w:val="bottom"/>
            <w:hideMark/>
          </w:tcPr>
          <w:p w:rsidR="00FE0200" w:rsidRPr="003575BF" w:rsidRDefault="00FE0200" w:rsidP="003C352E">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Lowe </w:t>
            </w:r>
            <w:r w:rsidRPr="003575BF">
              <w:rPr>
                <w:rFonts w:ascii="Times New Roman" w:eastAsia="Times New Roman" w:hAnsi="Times New Roman" w:cs="Times New Roman"/>
                <w:sz w:val="20"/>
                <w:szCs w:val="20"/>
                <w:lang w:eastAsia="en-US"/>
              </w:rPr>
              <w:t>37 week pregnant</w:t>
            </w:r>
          </w:p>
        </w:tc>
      </w:tr>
      <w:tr w:rsidR="00FE0200" w:rsidRPr="003575BF" w:rsidTr="003C352E">
        <w:trPr>
          <w:trHeight w:val="280"/>
        </w:trPr>
        <w:tc>
          <w:tcPr>
            <w:tcW w:w="1365" w:type="dxa"/>
            <w:tcBorders>
              <w:top w:val="nil"/>
              <w:left w:val="nil"/>
              <w:bottom w:val="nil"/>
              <w:right w:val="nil"/>
            </w:tcBorders>
            <w:shd w:val="clear" w:color="auto" w:fill="auto"/>
            <w:noWrap/>
            <w:vAlign w:val="bottom"/>
            <w:hideMark/>
          </w:tcPr>
          <w:p w:rsidR="00FE0200" w:rsidRPr="003575BF" w:rsidRDefault="00415BC1" w:rsidP="003C352E">
            <w:pPr>
              <w:rPr>
                <w:rFonts w:ascii="Times New Roman" w:eastAsia="Times New Roman" w:hAnsi="Times New Roman" w:cs="Times New Roman"/>
                <w:color w:val="000000"/>
                <w:sz w:val="20"/>
                <w:szCs w:val="20"/>
                <w:lang w:eastAsia="en-US"/>
              </w:rPr>
            </w:pPr>
            <w:r w:rsidRPr="003575BF">
              <w:rPr>
                <w:rFonts w:ascii="Times New Roman" w:eastAsia="Times New Roman" w:hAnsi="Times New Roman" w:cs="Times New Roman"/>
                <w:color w:val="000000"/>
                <w:sz w:val="20"/>
                <w:szCs w:val="20"/>
                <w:lang w:eastAsia="en-US"/>
              </w:rPr>
              <w:t>B</w:t>
            </w:r>
            <w:r w:rsidR="00FE0200" w:rsidRPr="003575BF">
              <w:rPr>
                <w:rFonts w:ascii="Times New Roman" w:eastAsia="Times New Roman" w:hAnsi="Times New Roman" w:cs="Times New Roman"/>
                <w:color w:val="000000"/>
                <w:sz w:val="20"/>
                <w:szCs w:val="20"/>
                <w:lang w:eastAsia="en-US"/>
              </w:rPr>
              <w:t>lood</w:t>
            </w:r>
          </w:p>
        </w:tc>
        <w:tc>
          <w:tcPr>
            <w:tcW w:w="1455"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1</w:t>
            </w:r>
          </w:p>
        </w:tc>
        <w:tc>
          <w:tcPr>
            <w:tcW w:w="126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1</w:t>
            </w:r>
          </w:p>
        </w:tc>
        <w:tc>
          <w:tcPr>
            <w:tcW w:w="1335"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1</w:t>
            </w:r>
          </w:p>
        </w:tc>
        <w:tc>
          <w:tcPr>
            <w:tcW w:w="108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4.0</w:t>
            </w:r>
          </w:p>
        </w:tc>
        <w:tc>
          <w:tcPr>
            <w:tcW w:w="1286"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4.0</w:t>
            </w:r>
          </w:p>
        </w:tc>
        <w:tc>
          <w:tcPr>
            <w:tcW w:w="144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5.9</w:t>
            </w:r>
          </w:p>
        </w:tc>
        <w:tc>
          <w:tcPr>
            <w:tcW w:w="99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4.0</w:t>
            </w:r>
          </w:p>
        </w:tc>
        <w:tc>
          <w:tcPr>
            <w:tcW w:w="135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4.0</w:t>
            </w:r>
          </w:p>
        </w:tc>
        <w:tc>
          <w:tcPr>
            <w:tcW w:w="144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5.9</w:t>
            </w:r>
          </w:p>
        </w:tc>
      </w:tr>
      <w:tr w:rsidR="00FE0200" w:rsidRPr="003575BF" w:rsidTr="003C352E">
        <w:trPr>
          <w:trHeight w:val="280"/>
        </w:trPr>
        <w:tc>
          <w:tcPr>
            <w:tcW w:w="1365" w:type="dxa"/>
            <w:tcBorders>
              <w:top w:val="nil"/>
              <w:left w:val="nil"/>
              <w:bottom w:val="nil"/>
              <w:right w:val="nil"/>
            </w:tcBorders>
            <w:shd w:val="clear" w:color="auto" w:fill="auto"/>
            <w:noWrap/>
            <w:vAlign w:val="bottom"/>
            <w:hideMark/>
          </w:tcPr>
          <w:p w:rsidR="00FE0200" w:rsidRPr="003575BF" w:rsidRDefault="00415BC1" w:rsidP="003C352E">
            <w:pPr>
              <w:rPr>
                <w:rFonts w:ascii="Times New Roman" w:eastAsia="Times New Roman" w:hAnsi="Times New Roman" w:cs="Times New Roman"/>
                <w:color w:val="000000"/>
                <w:sz w:val="20"/>
                <w:szCs w:val="20"/>
                <w:lang w:eastAsia="en-US"/>
              </w:rPr>
            </w:pPr>
            <w:r w:rsidRPr="003575BF">
              <w:rPr>
                <w:rFonts w:ascii="Times New Roman" w:eastAsia="Times New Roman" w:hAnsi="Times New Roman" w:cs="Times New Roman"/>
                <w:color w:val="000000"/>
                <w:sz w:val="20"/>
                <w:szCs w:val="20"/>
                <w:lang w:eastAsia="en-US"/>
              </w:rPr>
              <w:t>B</w:t>
            </w:r>
            <w:r w:rsidR="00FE0200" w:rsidRPr="003575BF">
              <w:rPr>
                <w:rFonts w:ascii="Times New Roman" w:eastAsia="Times New Roman" w:hAnsi="Times New Roman" w:cs="Times New Roman"/>
                <w:color w:val="000000"/>
                <w:sz w:val="20"/>
                <w:szCs w:val="20"/>
                <w:lang w:eastAsia="en-US"/>
              </w:rPr>
              <w:t>rain</w:t>
            </w:r>
          </w:p>
        </w:tc>
        <w:tc>
          <w:tcPr>
            <w:tcW w:w="1455"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33</w:t>
            </w:r>
          </w:p>
        </w:tc>
        <w:tc>
          <w:tcPr>
            <w:tcW w:w="126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13.5</w:t>
            </w:r>
          </w:p>
        </w:tc>
        <w:tc>
          <w:tcPr>
            <w:tcW w:w="1335"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9.2</w:t>
            </w:r>
          </w:p>
        </w:tc>
        <w:tc>
          <w:tcPr>
            <w:tcW w:w="108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1.2</w:t>
            </w:r>
          </w:p>
        </w:tc>
        <w:tc>
          <w:tcPr>
            <w:tcW w:w="1286"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1.2</w:t>
            </w:r>
          </w:p>
        </w:tc>
        <w:tc>
          <w:tcPr>
            <w:tcW w:w="144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1.1</w:t>
            </w:r>
          </w:p>
        </w:tc>
        <w:tc>
          <w:tcPr>
            <w:tcW w:w="99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38.2</w:t>
            </w:r>
          </w:p>
        </w:tc>
        <w:tc>
          <w:tcPr>
            <w:tcW w:w="135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15.6</w:t>
            </w:r>
          </w:p>
        </w:tc>
        <w:tc>
          <w:tcPr>
            <w:tcW w:w="144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10.3</w:t>
            </w:r>
          </w:p>
        </w:tc>
      </w:tr>
      <w:tr w:rsidR="00FE0200" w:rsidRPr="003575BF" w:rsidTr="003C352E">
        <w:trPr>
          <w:trHeight w:val="280"/>
        </w:trPr>
        <w:tc>
          <w:tcPr>
            <w:tcW w:w="1365" w:type="dxa"/>
            <w:tcBorders>
              <w:top w:val="nil"/>
              <w:left w:val="nil"/>
              <w:bottom w:val="nil"/>
              <w:right w:val="nil"/>
            </w:tcBorders>
            <w:shd w:val="clear" w:color="auto" w:fill="auto"/>
            <w:noWrap/>
            <w:vAlign w:val="bottom"/>
            <w:hideMark/>
          </w:tcPr>
          <w:p w:rsidR="00FE0200" w:rsidRPr="003575BF" w:rsidRDefault="00FE0200" w:rsidP="003C352E">
            <w:pPr>
              <w:rPr>
                <w:rFonts w:ascii="Times New Roman" w:eastAsia="Times New Roman" w:hAnsi="Times New Roman" w:cs="Times New Roman"/>
                <w:color w:val="000000"/>
                <w:sz w:val="20"/>
                <w:szCs w:val="20"/>
                <w:lang w:eastAsia="en-US"/>
              </w:rPr>
            </w:pPr>
            <w:proofErr w:type="spellStart"/>
            <w:r w:rsidRPr="003575BF">
              <w:rPr>
                <w:rFonts w:ascii="Times New Roman" w:eastAsia="Times New Roman" w:hAnsi="Times New Roman" w:cs="Times New Roman"/>
                <w:color w:val="000000"/>
                <w:sz w:val="20"/>
                <w:szCs w:val="20"/>
                <w:lang w:eastAsia="en-US"/>
              </w:rPr>
              <w:t>diaphram</w:t>
            </w:r>
            <w:proofErr w:type="spellEnd"/>
          </w:p>
        </w:tc>
        <w:tc>
          <w:tcPr>
            <w:tcW w:w="1455"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6</w:t>
            </w:r>
          </w:p>
        </w:tc>
        <w:tc>
          <w:tcPr>
            <w:tcW w:w="126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2.5</w:t>
            </w:r>
          </w:p>
        </w:tc>
        <w:tc>
          <w:tcPr>
            <w:tcW w:w="1335"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1.7</w:t>
            </w:r>
          </w:p>
        </w:tc>
        <w:tc>
          <w:tcPr>
            <w:tcW w:w="108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0.02</w:t>
            </w:r>
          </w:p>
        </w:tc>
        <w:tc>
          <w:tcPr>
            <w:tcW w:w="1286"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0.02</w:t>
            </w:r>
          </w:p>
        </w:tc>
        <w:tc>
          <w:tcPr>
            <w:tcW w:w="144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0.02</w:t>
            </w:r>
          </w:p>
        </w:tc>
        <w:tc>
          <w:tcPr>
            <w:tcW w:w="99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0.1</w:t>
            </w:r>
          </w:p>
        </w:tc>
        <w:tc>
          <w:tcPr>
            <w:tcW w:w="135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0.0</w:t>
            </w:r>
          </w:p>
        </w:tc>
        <w:tc>
          <w:tcPr>
            <w:tcW w:w="144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0.0</w:t>
            </w:r>
          </w:p>
        </w:tc>
      </w:tr>
      <w:tr w:rsidR="00FE0200" w:rsidRPr="003575BF" w:rsidTr="003C352E">
        <w:trPr>
          <w:trHeight w:val="280"/>
        </w:trPr>
        <w:tc>
          <w:tcPr>
            <w:tcW w:w="1365" w:type="dxa"/>
            <w:tcBorders>
              <w:top w:val="nil"/>
              <w:left w:val="nil"/>
              <w:bottom w:val="nil"/>
              <w:right w:val="nil"/>
            </w:tcBorders>
            <w:shd w:val="clear" w:color="auto" w:fill="auto"/>
            <w:noWrap/>
            <w:vAlign w:val="bottom"/>
            <w:hideMark/>
          </w:tcPr>
          <w:p w:rsidR="00FE0200" w:rsidRPr="003575BF" w:rsidRDefault="00415BC1" w:rsidP="003C352E">
            <w:pPr>
              <w:rPr>
                <w:rFonts w:ascii="Times New Roman" w:eastAsia="Times New Roman" w:hAnsi="Times New Roman" w:cs="Times New Roman"/>
                <w:color w:val="000000"/>
                <w:sz w:val="20"/>
                <w:szCs w:val="20"/>
                <w:lang w:eastAsia="en-US"/>
              </w:rPr>
            </w:pPr>
            <w:r w:rsidRPr="003575BF">
              <w:rPr>
                <w:rFonts w:ascii="Times New Roman" w:eastAsia="Times New Roman" w:hAnsi="Times New Roman" w:cs="Times New Roman"/>
                <w:color w:val="000000"/>
                <w:sz w:val="20"/>
                <w:szCs w:val="20"/>
                <w:lang w:eastAsia="en-US"/>
              </w:rPr>
              <w:t>F</w:t>
            </w:r>
            <w:r w:rsidR="00FE0200" w:rsidRPr="003575BF">
              <w:rPr>
                <w:rFonts w:ascii="Times New Roman" w:eastAsia="Times New Roman" w:hAnsi="Times New Roman" w:cs="Times New Roman"/>
                <w:color w:val="000000"/>
                <w:sz w:val="20"/>
                <w:szCs w:val="20"/>
                <w:lang w:eastAsia="en-US"/>
              </w:rPr>
              <w:t>at</w:t>
            </w:r>
          </w:p>
        </w:tc>
        <w:tc>
          <w:tcPr>
            <w:tcW w:w="1455"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435</w:t>
            </w:r>
          </w:p>
        </w:tc>
        <w:tc>
          <w:tcPr>
            <w:tcW w:w="126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178</w:t>
            </w:r>
          </w:p>
        </w:tc>
        <w:tc>
          <w:tcPr>
            <w:tcW w:w="1335"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121</w:t>
            </w:r>
          </w:p>
        </w:tc>
        <w:tc>
          <w:tcPr>
            <w:tcW w:w="108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23.4</w:t>
            </w:r>
          </w:p>
        </w:tc>
        <w:tc>
          <w:tcPr>
            <w:tcW w:w="1286"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23.4</w:t>
            </w:r>
          </w:p>
        </w:tc>
        <w:tc>
          <w:tcPr>
            <w:tcW w:w="144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29.4</w:t>
            </w:r>
          </w:p>
        </w:tc>
        <w:tc>
          <w:tcPr>
            <w:tcW w:w="99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10184</w:t>
            </w:r>
          </w:p>
        </w:tc>
        <w:tc>
          <w:tcPr>
            <w:tcW w:w="135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4167</w:t>
            </w:r>
          </w:p>
        </w:tc>
        <w:tc>
          <w:tcPr>
            <w:tcW w:w="144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3557</w:t>
            </w:r>
          </w:p>
        </w:tc>
      </w:tr>
      <w:tr w:rsidR="00FE0200" w:rsidRPr="003575BF" w:rsidTr="003C352E">
        <w:trPr>
          <w:trHeight w:val="280"/>
        </w:trPr>
        <w:tc>
          <w:tcPr>
            <w:tcW w:w="1365" w:type="dxa"/>
            <w:tcBorders>
              <w:top w:val="nil"/>
              <w:left w:val="nil"/>
              <w:bottom w:val="nil"/>
              <w:right w:val="nil"/>
            </w:tcBorders>
            <w:shd w:val="clear" w:color="auto" w:fill="auto"/>
            <w:noWrap/>
            <w:vAlign w:val="bottom"/>
            <w:hideMark/>
          </w:tcPr>
          <w:p w:rsidR="00FE0200" w:rsidRPr="003575BF" w:rsidRDefault="00415BC1" w:rsidP="003C352E">
            <w:pPr>
              <w:rPr>
                <w:rFonts w:ascii="Times New Roman" w:eastAsia="Times New Roman" w:hAnsi="Times New Roman" w:cs="Times New Roman"/>
                <w:color w:val="000000"/>
                <w:sz w:val="20"/>
                <w:szCs w:val="20"/>
                <w:lang w:eastAsia="en-US"/>
              </w:rPr>
            </w:pPr>
            <w:r w:rsidRPr="003575BF">
              <w:rPr>
                <w:rFonts w:ascii="Times New Roman" w:eastAsia="Times New Roman" w:hAnsi="Times New Roman" w:cs="Times New Roman"/>
                <w:color w:val="000000"/>
                <w:sz w:val="20"/>
                <w:szCs w:val="20"/>
                <w:lang w:eastAsia="en-US"/>
              </w:rPr>
              <w:t>L</w:t>
            </w:r>
            <w:r w:rsidR="00FE0200" w:rsidRPr="003575BF">
              <w:rPr>
                <w:rFonts w:ascii="Times New Roman" w:eastAsia="Times New Roman" w:hAnsi="Times New Roman" w:cs="Times New Roman"/>
                <w:color w:val="000000"/>
                <w:sz w:val="20"/>
                <w:szCs w:val="20"/>
                <w:lang w:eastAsia="en-US"/>
              </w:rPr>
              <w:t>iver</w:t>
            </w:r>
          </w:p>
        </w:tc>
        <w:tc>
          <w:tcPr>
            <w:tcW w:w="1455"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22</w:t>
            </w:r>
          </w:p>
        </w:tc>
        <w:tc>
          <w:tcPr>
            <w:tcW w:w="126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9.0</w:t>
            </w:r>
          </w:p>
        </w:tc>
        <w:tc>
          <w:tcPr>
            <w:tcW w:w="1335"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6.1</w:t>
            </w:r>
          </w:p>
        </w:tc>
        <w:tc>
          <w:tcPr>
            <w:tcW w:w="108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1.7</w:t>
            </w:r>
          </w:p>
        </w:tc>
        <w:tc>
          <w:tcPr>
            <w:tcW w:w="1286"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1.7</w:t>
            </w:r>
          </w:p>
        </w:tc>
        <w:tc>
          <w:tcPr>
            <w:tcW w:w="144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1.7</w:t>
            </w:r>
          </w:p>
        </w:tc>
        <w:tc>
          <w:tcPr>
            <w:tcW w:w="99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38.2</w:t>
            </w:r>
          </w:p>
        </w:tc>
        <w:tc>
          <w:tcPr>
            <w:tcW w:w="135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15.6</w:t>
            </w:r>
          </w:p>
        </w:tc>
        <w:tc>
          <w:tcPr>
            <w:tcW w:w="144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10.3</w:t>
            </w:r>
          </w:p>
        </w:tc>
      </w:tr>
      <w:tr w:rsidR="00FE0200" w:rsidRPr="003575BF" w:rsidTr="003C352E">
        <w:trPr>
          <w:trHeight w:val="280"/>
        </w:trPr>
        <w:tc>
          <w:tcPr>
            <w:tcW w:w="1365" w:type="dxa"/>
            <w:tcBorders>
              <w:top w:val="nil"/>
              <w:left w:val="nil"/>
              <w:bottom w:val="nil"/>
              <w:right w:val="nil"/>
            </w:tcBorders>
            <w:shd w:val="clear" w:color="auto" w:fill="auto"/>
            <w:noWrap/>
            <w:vAlign w:val="bottom"/>
            <w:hideMark/>
          </w:tcPr>
          <w:p w:rsidR="00FE0200" w:rsidRPr="003575BF" w:rsidRDefault="00FE0200" w:rsidP="003C352E">
            <w:pPr>
              <w:rPr>
                <w:rFonts w:ascii="Times New Roman" w:eastAsia="Times New Roman" w:hAnsi="Times New Roman" w:cs="Times New Roman"/>
                <w:color w:val="000000"/>
                <w:sz w:val="20"/>
                <w:szCs w:val="20"/>
                <w:lang w:eastAsia="en-US"/>
              </w:rPr>
            </w:pPr>
            <w:r w:rsidRPr="003575BF">
              <w:rPr>
                <w:rFonts w:ascii="Times New Roman" w:eastAsia="Times New Roman" w:hAnsi="Times New Roman" w:cs="Times New Roman"/>
                <w:color w:val="000000"/>
                <w:sz w:val="20"/>
                <w:szCs w:val="20"/>
                <w:lang w:eastAsia="en-US"/>
              </w:rPr>
              <w:t>rapidly perfused</w:t>
            </w:r>
          </w:p>
        </w:tc>
        <w:tc>
          <w:tcPr>
            <w:tcW w:w="1455"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10</w:t>
            </w:r>
          </w:p>
        </w:tc>
        <w:tc>
          <w:tcPr>
            <w:tcW w:w="126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4.1</w:t>
            </w:r>
          </w:p>
        </w:tc>
        <w:tc>
          <w:tcPr>
            <w:tcW w:w="1335"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2.8</w:t>
            </w:r>
          </w:p>
        </w:tc>
        <w:tc>
          <w:tcPr>
            <w:tcW w:w="108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2.3</w:t>
            </w:r>
          </w:p>
        </w:tc>
        <w:tc>
          <w:tcPr>
            <w:tcW w:w="1286"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2.3</w:t>
            </w:r>
          </w:p>
        </w:tc>
        <w:tc>
          <w:tcPr>
            <w:tcW w:w="144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1.9</w:t>
            </w:r>
          </w:p>
        </w:tc>
        <w:tc>
          <w:tcPr>
            <w:tcW w:w="99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23.1</w:t>
            </w:r>
          </w:p>
        </w:tc>
        <w:tc>
          <w:tcPr>
            <w:tcW w:w="135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9.5</w:t>
            </w:r>
          </w:p>
        </w:tc>
        <w:tc>
          <w:tcPr>
            <w:tcW w:w="144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5.4</w:t>
            </w:r>
          </w:p>
        </w:tc>
      </w:tr>
      <w:tr w:rsidR="00FE0200" w:rsidRPr="003575BF" w:rsidTr="003C352E">
        <w:trPr>
          <w:trHeight w:val="280"/>
        </w:trPr>
        <w:tc>
          <w:tcPr>
            <w:tcW w:w="1365" w:type="dxa"/>
            <w:tcBorders>
              <w:top w:val="nil"/>
              <w:left w:val="nil"/>
              <w:bottom w:val="nil"/>
              <w:right w:val="nil"/>
            </w:tcBorders>
            <w:shd w:val="clear" w:color="auto" w:fill="auto"/>
            <w:noWrap/>
            <w:vAlign w:val="bottom"/>
            <w:hideMark/>
          </w:tcPr>
          <w:p w:rsidR="00FE0200" w:rsidRPr="003575BF" w:rsidRDefault="00FE0200" w:rsidP="003C352E">
            <w:pPr>
              <w:rPr>
                <w:rFonts w:ascii="Times New Roman" w:eastAsia="Times New Roman" w:hAnsi="Times New Roman" w:cs="Times New Roman"/>
                <w:color w:val="000000"/>
                <w:sz w:val="20"/>
                <w:szCs w:val="20"/>
                <w:lang w:eastAsia="en-US"/>
              </w:rPr>
            </w:pPr>
            <w:r w:rsidRPr="003575BF">
              <w:rPr>
                <w:rFonts w:ascii="Times New Roman" w:eastAsia="Times New Roman" w:hAnsi="Times New Roman" w:cs="Times New Roman"/>
                <w:color w:val="000000"/>
                <w:sz w:val="20"/>
                <w:szCs w:val="20"/>
                <w:lang w:eastAsia="en-US"/>
              </w:rPr>
              <w:t>slowly perfused</w:t>
            </w:r>
          </w:p>
        </w:tc>
        <w:tc>
          <w:tcPr>
            <w:tcW w:w="1455"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6</w:t>
            </w:r>
          </w:p>
        </w:tc>
        <w:tc>
          <w:tcPr>
            <w:tcW w:w="126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2.5</w:t>
            </w:r>
          </w:p>
        </w:tc>
        <w:tc>
          <w:tcPr>
            <w:tcW w:w="1335"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1.7</w:t>
            </w:r>
          </w:p>
        </w:tc>
        <w:tc>
          <w:tcPr>
            <w:tcW w:w="108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31.2</w:t>
            </w:r>
          </w:p>
        </w:tc>
        <w:tc>
          <w:tcPr>
            <w:tcW w:w="1286"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31.2</w:t>
            </w:r>
          </w:p>
        </w:tc>
        <w:tc>
          <w:tcPr>
            <w:tcW w:w="144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30.3</w:t>
            </w:r>
          </w:p>
        </w:tc>
        <w:tc>
          <w:tcPr>
            <w:tcW w:w="99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187.3</w:t>
            </w:r>
          </w:p>
        </w:tc>
        <w:tc>
          <w:tcPr>
            <w:tcW w:w="135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76.6</w:t>
            </w:r>
          </w:p>
        </w:tc>
        <w:tc>
          <w:tcPr>
            <w:tcW w:w="144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50.5</w:t>
            </w:r>
          </w:p>
        </w:tc>
      </w:tr>
      <w:tr w:rsidR="00FE0200" w:rsidRPr="003575BF" w:rsidTr="003C352E">
        <w:trPr>
          <w:trHeight w:val="280"/>
        </w:trPr>
        <w:tc>
          <w:tcPr>
            <w:tcW w:w="1365" w:type="dxa"/>
            <w:tcBorders>
              <w:top w:val="nil"/>
              <w:left w:val="nil"/>
              <w:bottom w:val="single" w:sz="4" w:space="0" w:color="auto"/>
              <w:right w:val="nil"/>
            </w:tcBorders>
            <w:shd w:val="clear" w:color="auto" w:fill="auto"/>
            <w:noWrap/>
            <w:vAlign w:val="bottom"/>
            <w:hideMark/>
          </w:tcPr>
          <w:p w:rsidR="00FE0200" w:rsidRPr="003575BF" w:rsidRDefault="00FE0200" w:rsidP="003C352E">
            <w:pPr>
              <w:rPr>
                <w:rFonts w:ascii="Times New Roman" w:eastAsia="Times New Roman" w:hAnsi="Times New Roman" w:cs="Times New Roman"/>
                <w:color w:val="000000"/>
                <w:sz w:val="20"/>
                <w:szCs w:val="20"/>
                <w:lang w:eastAsia="en-US"/>
              </w:rPr>
            </w:pPr>
            <w:r w:rsidRPr="003575BF">
              <w:rPr>
                <w:rFonts w:ascii="Times New Roman" w:eastAsia="Times New Roman" w:hAnsi="Times New Roman" w:cs="Times New Roman"/>
                <w:color w:val="000000"/>
                <w:sz w:val="20"/>
                <w:szCs w:val="20"/>
                <w:lang w:eastAsia="en-US"/>
              </w:rPr>
              <w:t>Skin</w:t>
            </w:r>
          </w:p>
        </w:tc>
        <w:tc>
          <w:tcPr>
            <w:tcW w:w="1455"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6</w:t>
            </w:r>
          </w:p>
        </w:tc>
        <w:tc>
          <w:tcPr>
            <w:tcW w:w="126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2.5</w:t>
            </w:r>
          </w:p>
        </w:tc>
        <w:tc>
          <w:tcPr>
            <w:tcW w:w="1335"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1.7</w:t>
            </w:r>
          </w:p>
        </w:tc>
        <w:tc>
          <w:tcPr>
            <w:tcW w:w="108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5.2</w:t>
            </w:r>
          </w:p>
        </w:tc>
        <w:tc>
          <w:tcPr>
            <w:tcW w:w="1286"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5.2</w:t>
            </w:r>
          </w:p>
        </w:tc>
        <w:tc>
          <w:tcPr>
            <w:tcW w:w="144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5.9</w:t>
            </w:r>
          </w:p>
        </w:tc>
        <w:tc>
          <w:tcPr>
            <w:tcW w:w="99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31.2</w:t>
            </w:r>
          </w:p>
        </w:tc>
        <w:tc>
          <w:tcPr>
            <w:tcW w:w="135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12.8</w:t>
            </w:r>
          </w:p>
        </w:tc>
        <w:tc>
          <w:tcPr>
            <w:tcW w:w="144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9.8</w:t>
            </w:r>
          </w:p>
        </w:tc>
      </w:tr>
      <w:tr w:rsidR="00FE0200" w:rsidRPr="003575BF" w:rsidTr="003C352E">
        <w:trPr>
          <w:trHeight w:val="280"/>
        </w:trPr>
        <w:tc>
          <w:tcPr>
            <w:tcW w:w="1365" w:type="dxa"/>
            <w:tcBorders>
              <w:top w:val="nil"/>
              <w:left w:val="nil"/>
              <w:bottom w:val="nil"/>
              <w:right w:val="nil"/>
            </w:tcBorders>
            <w:shd w:val="clear" w:color="auto" w:fill="auto"/>
            <w:noWrap/>
            <w:vAlign w:val="bottom"/>
            <w:hideMark/>
          </w:tcPr>
          <w:p w:rsidR="00FE0200" w:rsidRPr="003575BF" w:rsidRDefault="00FE0200" w:rsidP="003C352E">
            <w:pPr>
              <w:rPr>
                <w:rFonts w:ascii="Times New Roman" w:eastAsia="Times New Roman" w:hAnsi="Times New Roman" w:cs="Times New Roman"/>
                <w:color w:val="000000"/>
                <w:sz w:val="20"/>
                <w:szCs w:val="20"/>
                <w:lang w:eastAsia="en-US"/>
              </w:rPr>
            </w:pPr>
            <w:r w:rsidRPr="003575BF">
              <w:rPr>
                <w:rFonts w:ascii="Times New Roman" w:eastAsia="Times New Roman" w:hAnsi="Times New Roman" w:cs="Times New Roman"/>
                <w:color w:val="000000"/>
                <w:sz w:val="20"/>
                <w:szCs w:val="20"/>
                <w:lang w:eastAsia="en-US"/>
              </w:rPr>
              <w:t>Mammary</w:t>
            </w:r>
          </w:p>
        </w:tc>
        <w:tc>
          <w:tcPr>
            <w:tcW w:w="1455"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p>
        </w:tc>
        <w:tc>
          <w:tcPr>
            <w:tcW w:w="126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p>
        </w:tc>
        <w:tc>
          <w:tcPr>
            <w:tcW w:w="1335"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2.8</w:t>
            </w:r>
          </w:p>
        </w:tc>
        <w:tc>
          <w:tcPr>
            <w:tcW w:w="108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p>
        </w:tc>
        <w:tc>
          <w:tcPr>
            <w:tcW w:w="1286"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1.1</w:t>
            </w:r>
          </w:p>
        </w:tc>
        <w:tc>
          <w:tcPr>
            <w:tcW w:w="990" w:type="dxa"/>
            <w:tcBorders>
              <w:top w:val="nil"/>
              <w:left w:val="nil"/>
              <w:bottom w:val="nil"/>
              <w:right w:val="nil"/>
            </w:tcBorders>
            <w:shd w:val="clear" w:color="auto" w:fill="auto"/>
            <w:noWrap/>
            <w:vAlign w:val="bottom"/>
            <w:hideMark/>
          </w:tcPr>
          <w:p w:rsidR="00FE0200" w:rsidRPr="003575BF" w:rsidRDefault="00FE0200" w:rsidP="003C352E">
            <w:pPr>
              <w:rPr>
                <w:rFonts w:ascii="Times New Roman" w:eastAsia="Times New Roman" w:hAnsi="Times New Roman" w:cs="Times New Roman"/>
                <w:sz w:val="20"/>
                <w:szCs w:val="20"/>
                <w:lang w:eastAsia="en-US"/>
              </w:rPr>
            </w:pPr>
          </w:p>
        </w:tc>
        <w:tc>
          <w:tcPr>
            <w:tcW w:w="1350" w:type="dxa"/>
            <w:tcBorders>
              <w:top w:val="nil"/>
              <w:left w:val="nil"/>
              <w:bottom w:val="nil"/>
              <w:right w:val="nil"/>
            </w:tcBorders>
            <w:shd w:val="clear" w:color="auto" w:fill="auto"/>
            <w:noWrap/>
            <w:vAlign w:val="bottom"/>
            <w:hideMark/>
          </w:tcPr>
          <w:p w:rsidR="00FE0200" w:rsidRPr="003575BF" w:rsidRDefault="00FE0200" w:rsidP="003C352E">
            <w:pPr>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3.1</w:t>
            </w:r>
          </w:p>
        </w:tc>
      </w:tr>
      <w:tr w:rsidR="00FE0200" w:rsidRPr="003575BF" w:rsidTr="003C352E">
        <w:trPr>
          <w:trHeight w:val="280"/>
        </w:trPr>
        <w:tc>
          <w:tcPr>
            <w:tcW w:w="1365" w:type="dxa"/>
            <w:tcBorders>
              <w:top w:val="nil"/>
              <w:left w:val="nil"/>
              <w:bottom w:val="nil"/>
              <w:right w:val="nil"/>
            </w:tcBorders>
            <w:shd w:val="clear" w:color="auto" w:fill="auto"/>
            <w:noWrap/>
            <w:vAlign w:val="bottom"/>
            <w:hideMark/>
          </w:tcPr>
          <w:p w:rsidR="00FE0200" w:rsidRPr="003575BF" w:rsidRDefault="00FE0200" w:rsidP="003C352E">
            <w:pPr>
              <w:rPr>
                <w:rFonts w:ascii="Times New Roman" w:eastAsia="Times New Roman" w:hAnsi="Times New Roman" w:cs="Times New Roman"/>
                <w:color w:val="000000"/>
                <w:sz w:val="20"/>
                <w:szCs w:val="20"/>
                <w:lang w:eastAsia="en-US"/>
              </w:rPr>
            </w:pPr>
            <w:r w:rsidRPr="003575BF">
              <w:rPr>
                <w:rFonts w:ascii="Times New Roman" w:eastAsia="Times New Roman" w:hAnsi="Times New Roman" w:cs="Times New Roman"/>
                <w:color w:val="000000"/>
                <w:sz w:val="20"/>
                <w:szCs w:val="20"/>
                <w:lang w:eastAsia="en-US"/>
              </w:rPr>
              <w:t xml:space="preserve">Uterus </w:t>
            </w:r>
          </w:p>
        </w:tc>
        <w:tc>
          <w:tcPr>
            <w:tcW w:w="1455"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p>
        </w:tc>
        <w:tc>
          <w:tcPr>
            <w:tcW w:w="126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p>
        </w:tc>
        <w:tc>
          <w:tcPr>
            <w:tcW w:w="1335"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2.8</w:t>
            </w:r>
          </w:p>
        </w:tc>
        <w:tc>
          <w:tcPr>
            <w:tcW w:w="108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p>
        </w:tc>
        <w:tc>
          <w:tcPr>
            <w:tcW w:w="1286"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2.6</w:t>
            </w:r>
          </w:p>
        </w:tc>
        <w:tc>
          <w:tcPr>
            <w:tcW w:w="990" w:type="dxa"/>
            <w:tcBorders>
              <w:top w:val="nil"/>
              <w:left w:val="nil"/>
              <w:bottom w:val="nil"/>
              <w:right w:val="nil"/>
            </w:tcBorders>
            <w:shd w:val="clear" w:color="auto" w:fill="auto"/>
            <w:noWrap/>
            <w:vAlign w:val="bottom"/>
            <w:hideMark/>
          </w:tcPr>
          <w:p w:rsidR="00FE0200" w:rsidRPr="003575BF" w:rsidRDefault="00FE0200" w:rsidP="003C352E">
            <w:pPr>
              <w:rPr>
                <w:rFonts w:ascii="Times New Roman" w:eastAsia="Times New Roman" w:hAnsi="Times New Roman" w:cs="Times New Roman"/>
                <w:sz w:val="20"/>
                <w:szCs w:val="20"/>
                <w:lang w:eastAsia="en-US"/>
              </w:rPr>
            </w:pPr>
          </w:p>
        </w:tc>
        <w:tc>
          <w:tcPr>
            <w:tcW w:w="1350" w:type="dxa"/>
            <w:tcBorders>
              <w:top w:val="nil"/>
              <w:left w:val="nil"/>
              <w:bottom w:val="nil"/>
              <w:right w:val="nil"/>
            </w:tcBorders>
            <w:shd w:val="clear" w:color="auto" w:fill="auto"/>
            <w:noWrap/>
            <w:vAlign w:val="bottom"/>
            <w:hideMark/>
          </w:tcPr>
          <w:p w:rsidR="00FE0200" w:rsidRPr="003575BF" w:rsidRDefault="00FE0200" w:rsidP="003C352E">
            <w:pPr>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7.3</w:t>
            </w:r>
          </w:p>
        </w:tc>
      </w:tr>
      <w:tr w:rsidR="00FE0200" w:rsidRPr="003575BF" w:rsidTr="003C352E">
        <w:trPr>
          <w:trHeight w:val="280"/>
        </w:trPr>
        <w:tc>
          <w:tcPr>
            <w:tcW w:w="1365" w:type="dxa"/>
            <w:tcBorders>
              <w:top w:val="nil"/>
              <w:left w:val="nil"/>
              <w:bottom w:val="nil"/>
              <w:right w:val="nil"/>
            </w:tcBorders>
            <w:shd w:val="clear" w:color="auto" w:fill="auto"/>
            <w:noWrap/>
            <w:vAlign w:val="bottom"/>
            <w:hideMark/>
          </w:tcPr>
          <w:p w:rsidR="00FE0200" w:rsidRPr="003575BF" w:rsidRDefault="00FE0200" w:rsidP="003C352E">
            <w:pPr>
              <w:rPr>
                <w:rFonts w:ascii="Times New Roman" w:eastAsia="Times New Roman" w:hAnsi="Times New Roman" w:cs="Times New Roman"/>
                <w:color w:val="000000"/>
                <w:sz w:val="20"/>
                <w:szCs w:val="20"/>
                <w:lang w:eastAsia="en-US"/>
              </w:rPr>
            </w:pPr>
            <w:r w:rsidRPr="003575BF">
              <w:rPr>
                <w:rFonts w:ascii="Times New Roman" w:eastAsia="Times New Roman" w:hAnsi="Times New Roman" w:cs="Times New Roman"/>
                <w:color w:val="000000"/>
                <w:sz w:val="20"/>
                <w:szCs w:val="20"/>
                <w:lang w:eastAsia="en-US"/>
              </w:rPr>
              <w:t>Placenta</w:t>
            </w:r>
          </w:p>
        </w:tc>
        <w:tc>
          <w:tcPr>
            <w:tcW w:w="1455"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p>
        </w:tc>
        <w:tc>
          <w:tcPr>
            <w:tcW w:w="126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p>
        </w:tc>
        <w:tc>
          <w:tcPr>
            <w:tcW w:w="1335"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2.8</w:t>
            </w:r>
          </w:p>
        </w:tc>
        <w:tc>
          <w:tcPr>
            <w:tcW w:w="108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p>
        </w:tc>
        <w:tc>
          <w:tcPr>
            <w:tcW w:w="1286"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0.6</w:t>
            </w:r>
          </w:p>
        </w:tc>
        <w:tc>
          <w:tcPr>
            <w:tcW w:w="990" w:type="dxa"/>
            <w:tcBorders>
              <w:top w:val="nil"/>
              <w:left w:val="nil"/>
              <w:bottom w:val="nil"/>
              <w:right w:val="nil"/>
            </w:tcBorders>
            <w:shd w:val="clear" w:color="auto" w:fill="auto"/>
            <w:noWrap/>
            <w:vAlign w:val="bottom"/>
            <w:hideMark/>
          </w:tcPr>
          <w:p w:rsidR="00FE0200" w:rsidRPr="003575BF" w:rsidRDefault="00FE0200" w:rsidP="003C352E">
            <w:pPr>
              <w:rPr>
                <w:rFonts w:ascii="Times New Roman" w:eastAsia="Times New Roman" w:hAnsi="Times New Roman" w:cs="Times New Roman"/>
                <w:sz w:val="20"/>
                <w:szCs w:val="20"/>
                <w:lang w:eastAsia="en-US"/>
              </w:rPr>
            </w:pPr>
          </w:p>
        </w:tc>
        <w:tc>
          <w:tcPr>
            <w:tcW w:w="1350" w:type="dxa"/>
            <w:tcBorders>
              <w:top w:val="nil"/>
              <w:left w:val="nil"/>
              <w:bottom w:val="nil"/>
              <w:right w:val="nil"/>
            </w:tcBorders>
            <w:shd w:val="clear" w:color="auto" w:fill="auto"/>
            <w:noWrap/>
            <w:vAlign w:val="bottom"/>
            <w:hideMark/>
          </w:tcPr>
          <w:p w:rsidR="00FE0200" w:rsidRPr="003575BF" w:rsidRDefault="00FE0200" w:rsidP="003C352E">
            <w:pPr>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1.8</w:t>
            </w:r>
          </w:p>
        </w:tc>
      </w:tr>
      <w:tr w:rsidR="00FE0200" w:rsidRPr="003575BF" w:rsidTr="003C352E">
        <w:trPr>
          <w:trHeight w:val="280"/>
        </w:trPr>
        <w:tc>
          <w:tcPr>
            <w:tcW w:w="1365" w:type="dxa"/>
            <w:tcBorders>
              <w:top w:val="nil"/>
              <w:left w:val="nil"/>
              <w:bottom w:val="nil"/>
              <w:right w:val="nil"/>
            </w:tcBorders>
            <w:shd w:val="clear" w:color="auto" w:fill="auto"/>
            <w:noWrap/>
            <w:vAlign w:val="bottom"/>
            <w:hideMark/>
          </w:tcPr>
          <w:p w:rsidR="00FE0200" w:rsidRPr="003575BF" w:rsidRDefault="00FE0200" w:rsidP="003C352E">
            <w:pPr>
              <w:rPr>
                <w:rFonts w:ascii="Times New Roman" w:eastAsia="Times New Roman" w:hAnsi="Times New Roman" w:cs="Times New Roman"/>
                <w:color w:val="000000"/>
                <w:sz w:val="20"/>
                <w:szCs w:val="20"/>
                <w:lang w:eastAsia="en-US"/>
              </w:rPr>
            </w:pPr>
            <w:r w:rsidRPr="003575BF">
              <w:rPr>
                <w:rFonts w:ascii="Times New Roman" w:eastAsia="Times New Roman" w:hAnsi="Times New Roman" w:cs="Times New Roman"/>
                <w:color w:val="000000"/>
                <w:sz w:val="20"/>
                <w:szCs w:val="20"/>
                <w:lang w:eastAsia="en-US"/>
              </w:rPr>
              <w:t>Fetus</w:t>
            </w:r>
          </w:p>
        </w:tc>
        <w:tc>
          <w:tcPr>
            <w:tcW w:w="1455"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p>
        </w:tc>
        <w:tc>
          <w:tcPr>
            <w:tcW w:w="126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p>
        </w:tc>
        <w:tc>
          <w:tcPr>
            <w:tcW w:w="1335"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2.8</w:t>
            </w:r>
          </w:p>
        </w:tc>
        <w:tc>
          <w:tcPr>
            <w:tcW w:w="108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p>
        </w:tc>
        <w:tc>
          <w:tcPr>
            <w:tcW w:w="1286"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3.4</w:t>
            </w:r>
          </w:p>
        </w:tc>
        <w:tc>
          <w:tcPr>
            <w:tcW w:w="990" w:type="dxa"/>
            <w:tcBorders>
              <w:top w:val="nil"/>
              <w:left w:val="nil"/>
              <w:bottom w:val="nil"/>
              <w:right w:val="nil"/>
            </w:tcBorders>
            <w:shd w:val="clear" w:color="auto" w:fill="auto"/>
            <w:noWrap/>
            <w:vAlign w:val="bottom"/>
            <w:hideMark/>
          </w:tcPr>
          <w:p w:rsidR="00FE0200" w:rsidRPr="003575BF" w:rsidRDefault="00FE0200" w:rsidP="003C352E">
            <w:pPr>
              <w:rPr>
                <w:rFonts w:ascii="Times New Roman" w:eastAsia="Times New Roman" w:hAnsi="Times New Roman" w:cs="Times New Roman"/>
                <w:sz w:val="20"/>
                <w:szCs w:val="20"/>
                <w:lang w:eastAsia="en-US"/>
              </w:rPr>
            </w:pPr>
          </w:p>
        </w:tc>
        <w:tc>
          <w:tcPr>
            <w:tcW w:w="1350" w:type="dxa"/>
            <w:tcBorders>
              <w:top w:val="nil"/>
              <w:left w:val="nil"/>
              <w:bottom w:val="nil"/>
              <w:right w:val="nil"/>
            </w:tcBorders>
            <w:shd w:val="clear" w:color="auto" w:fill="auto"/>
            <w:noWrap/>
            <w:vAlign w:val="bottom"/>
            <w:hideMark/>
          </w:tcPr>
          <w:p w:rsidR="00FE0200" w:rsidRPr="003575BF" w:rsidRDefault="00FE0200" w:rsidP="003C352E">
            <w:pPr>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9.5</w:t>
            </w:r>
          </w:p>
        </w:tc>
      </w:tr>
      <w:tr w:rsidR="00FE0200" w:rsidRPr="003575BF" w:rsidTr="003C352E">
        <w:trPr>
          <w:trHeight w:val="280"/>
        </w:trPr>
        <w:tc>
          <w:tcPr>
            <w:tcW w:w="1365" w:type="dxa"/>
            <w:tcBorders>
              <w:top w:val="nil"/>
              <w:left w:val="nil"/>
              <w:bottom w:val="nil"/>
              <w:right w:val="nil"/>
            </w:tcBorders>
            <w:shd w:val="clear" w:color="auto" w:fill="auto"/>
            <w:noWrap/>
            <w:vAlign w:val="bottom"/>
            <w:hideMark/>
          </w:tcPr>
          <w:p w:rsidR="00FE0200" w:rsidRPr="003575BF" w:rsidRDefault="00FE0200" w:rsidP="003C352E">
            <w:pPr>
              <w:rPr>
                <w:rFonts w:ascii="Times New Roman" w:eastAsia="Times New Roman" w:hAnsi="Times New Roman" w:cs="Times New Roman"/>
                <w:color w:val="000000"/>
                <w:sz w:val="20"/>
                <w:szCs w:val="20"/>
                <w:lang w:eastAsia="en-US"/>
              </w:rPr>
            </w:pPr>
            <w:r w:rsidRPr="003575BF">
              <w:rPr>
                <w:rFonts w:ascii="Times New Roman" w:eastAsia="Times New Roman" w:hAnsi="Times New Roman" w:cs="Times New Roman"/>
                <w:color w:val="000000"/>
                <w:sz w:val="20"/>
                <w:szCs w:val="20"/>
                <w:lang w:eastAsia="en-US"/>
              </w:rPr>
              <w:t>Total</w:t>
            </w:r>
          </w:p>
        </w:tc>
        <w:tc>
          <w:tcPr>
            <w:tcW w:w="1455"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p>
        </w:tc>
        <w:tc>
          <w:tcPr>
            <w:tcW w:w="126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p>
        </w:tc>
        <w:tc>
          <w:tcPr>
            <w:tcW w:w="1335"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p>
        </w:tc>
        <w:tc>
          <w:tcPr>
            <w:tcW w:w="108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69.1</w:t>
            </w:r>
          </w:p>
        </w:tc>
        <w:tc>
          <w:tcPr>
            <w:tcW w:w="1286"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69.1</w:t>
            </w:r>
          </w:p>
        </w:tc>
        <w:tc>
          <w:tcPr>
            <w:tcW w:w="144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83.9</w:t>
            </w:r>
          </w:p>
        </w:tc>
        <w:tc>
          <w:tcPr>
            <w:tcW w:w="99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10506</w:t>
            </w:r>
          </w:p>
        </w:tc>
        <w:tc>
          <w:tcPr>
            <w:tcW w:w="135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4301</w:t>
            </w:r>
          </w:p>
        </w:tc>
        <w:tc>
          <w:tcPr>
            <w:tcW w:w="1440" w:type="dxa"/>
            <w:tcBorders>
              <w:top w:val="nil"/>
              <w:left w:val="nil"/>
              <w:bottom w:val="nil"/>
              <w:right w:val="nil"/>
            </w:tcBorders>
            <w:shd w:val="clear" w:color="auto" w:fill="auto"/>
            <w:noWrap/>
            <w:vAlign w:val="bottom"/>
            <w:hideMark/>
          </w:tcPr>
          <w:p w:rsidR="00FE0200" w:rsidRPr="003575BF" w:rsidRDefault="00FE0200" w:rsidP="003C352E">
            <w:pPr>
              <w:jc w:val="center"/>
              <w:rPr>
                <w:rFonts w:ascii="Times New Roman" w:eastAsia="Times New Roman" w:hAnsi="Times New Roman" w:cs="Times New Roman"/>
                <w:sz w:val="20"/>
                <w:szCs w:val="20"/>
                <w:lang w:eastAsia="en-US"/>
              </w:rPr>
            </w:pPr>
            <w:r w:rsidRPr="003575BF">
              <w:rPr>
                <w:rFonts w:ascii="Times New Roman" w:eastAsia="Times New Roman" w:hAnsi="Times New Roman" w:cs="Times New Roman"/>
                <w:sz w:val="20"/>
                <w:szCs w:val="20"/>
                <w:lang w:eastAsia="en-US"/>
              </w:rPr>
              <w:t>3671</w:t>
            </w:r>
          </w:p>
        </w:tc>
      </w:tr>
    </w:tbl>
    <w:p w:rsidR="00FE0200" w:rsidRDefault="00FE0200" w:rsidP="00FE0200">
      <w:pPr>
        <w:pStyle w:val="Body"/>
        <w:sectPr w:rsidR="00FE0200" w:rsidSect="003C352E">
          <w:pgSz w:w="15840" w:h="12240" w:orient="landscape"/>
          <w:pgMar w:top="1440" w:right="1440" w:bottom="1440" w:left="1440" w:header="720" w:footer="720" w:gutter="0"/>
          <w:cols w:space="720"/>
          <w:titlePg/>
        </w:sectPr>
      </w:pPr>
    </w:p>
    <w:p w:rsidR="007812A9" w:rsidRDefault="007812A9" w:rsidP="007812A9">
      <w:pPr>
        <w:pStyle w:val="Body"/>
      </w:pPr>
      <w:r>
        <w:lastRenderedPageBreak/>
        <w:t>Given this, it is important to try to quantify the uncertainty in these expected partition coefficients.  The human plasma used by Lowe et al. for determination of the third trimester fat/blood partition coefficient was a pool from 10 women.  Therefore the uncertainty in the partition coefficient derived from this pool depends in part on the variability in fat content of late pregnant women’s plasma, and any errors resulting from analytical uncertainty.  Three sources report means and standard deviations for cholesterol and triglycerides for a total of 161 women in late pregnancy</w:t>
      </w:r>
      <w:r w:rsidRPr="000D314A">
        <w:t xml:space="preserve"> </w:t>
      </w:r>
      <w:r w:rsidR="004375A8">
        <w:fldChar w:fldCharType="begin">
          <w:fldData xml:space="preserve">PEVuZE5vdGU+PENpdGU+PEF1dGhvcj5CZWxvPC9BdXRob3I+PFllYXI+MjAwNDwvWWVhcj48UmVj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</w:fldData>
        </w:fldChar>
      </w:r>
      <w:r w:rsidR="002B6D02">
        <w:instrText xml:space="preserve"> ADDIN EN.CITE </w:instrText>
      </w:r>
      <w:r w:rsidR="004375A8">
        <w:fldChar w:fldCharType="begin">
          <w:fldData xml:space="preserve">PEVuZE5vdGU+PENpdGU+PEF1dGhvcj5CZWxvPC9BdXRob3I+PFllYXI+MjAwNDwvWWVhcj48UmVj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</w:fldData>
        </w:fldChar>
      </w:r>
      <w:r w:rsidR="002B6D02">
        <w:instrText xml:space="preserve"> ADDIN EN.CITE.DATA </w:instrText>
      </w:r>
      <w:r w:rsidR="004375A8">
        <w:fldChar w:fldCharType="end"/>
      </w:r>
      <w:r w:rsidR="004375A8">
        <w:fldChar w:fldCharType="separate"/>
      </w:r>
      <w:r w:rsidR="002B6D02" w:rsidRPr="002B6D02">
        <w:rPr>
          <w:noProof/>
          <w:vertAlign w:val="superscript"/>
        </w:rPr>
        <w:t>(</w:t>
      </w:r>
      <w:hyperlink w:anchor="_ENREF_9" w:tooltip="Belo, 2004 #230" w:history="1">
        <w:r w:rsidR="002B6D02" w:rsidRPr="002B6D02">
          <w:rPr>
            <w:noProof/>
            <w:vertAlign w:val="superscript"/>
          </w:rPr>
          <w:t>9</w:t>
        </w:r>
      </w:hyperlink>
      <w:r w:rsidR="002B6D02" w:rsidRPr="002B6D02">
        <w:rPr>
          <w:noProof/>
          <w:vertAlign w:val="superscript"/>
        </w:rPr>
        <w:t>)</w:t>
      </w:r>
      <w:r w:rsidR="004375A8">
        <w:fldChar w:fldCharType="end"/>
      </w:r>
      <w:r>
        <w:t xml:space="preserve"> </w:t>
      </w:r>
      <w:r w:rsidR="004375A8">
        <w:fldChar w:fldCharType="begin"/>
      </w:r>
      <w:r w:rsidR="002B6D02">
        <w:instrText xml:space="preserve"> ADDIN EN.CITE &lt;EndNote&gt;&lt;Cite&gt;&lt;Author&gt;Alberti-Fidanza&lt;/Author&gt;&lt;Year&gt;1995&lt;/Year&gt;&lt;RecNum&gt;232&lt;/RecNum&gt;&lt;DisplayText&gt;&lt;style face="superscript"&gt;(10)&lt;/style&gt;&lt;/DisplayText&gt;&lt;record&gt;&lt;rec-number&gt;232&lt;/rec-number&gt;&lt;foreign-keys&gt;&lt;key app="EN" db-id="apt5x9twmavw5feppw2p0x27wdvz92ez0va2"&gt;232&lt;/key&gt;&lt;/foreign-keys&gt;&lt;ref-type name="Journal Article"&gt;17&lt;/ref-type&gt;&lt;contributors&gt;&lt;authors&gt;&lt;author&gt;Alberti-Fidanza, A.&lt;/author&gt;&lt;author&gt;Parizkova, J.&lt;/author&gt;&lt;author&gt;Fruttini, D.&lt;/author&gt;&lt;/authors&gt;&lt;/contributors&gt;&lt;auth-address&gt;Istituto di Scienza dell&amp;apos;Alimentazione, Universita degli Studi, Perugia, Italy.&lt;/auth-address&gt;&lt;titles&gt;&lt;title&gt;Relationship between mothers&amp;apos; and newborns&amp;apos; nutritional and blood lipid variables&lt;/title&gt;&lt;secondary-title&gt;European journal of clinical nutrition&lt;/secondary-title&gt;&lt;alt-title&gt;Eur J Clin Nutr&lt;/alt-title&gt;&lt;/titles&gt;&lt;periodical&gt;&lt;full-title&gt;European journal of clinical nutrition&lt;/full-title&gt;&lt;abbr-1&gt;Eur J Clin Nutr&lt;/abbr-1&gt;&lt;/periodical&gt;&lt;alt-periodical&gt;&lt;full-title&gt;European journal of clinical nutrition&lt;/full-title&gt;&lt;abbr-1&gt;Eur J Clin Nutr&lt;/abbr-1&gt;&lt;/alt-periodical&gt;&lt;pages&gt;289-98&lt;/pages&gt;&lt;volume&gt;49&lt;/volume&gt;&lt;number&gt;4&lt;/number&gt;&lt;edition&gt;1995/04/01&lt;/edition&gt;&lt;keywords&gt;&lt;keyword&gt;Adult&lt;/keyword&gt;&lt;keyword&gt;*Anthropometry&lt;/keyword&gt;&lt;keyword&gt;Cholesterol/blood&lt;/keyword&gt;&lt;keyword&gt;Cohort Studies&lt;/keyword&gt;&lt;keyword&gt;Diet&lt;/keyword&gt;&lt;keyword&gt;Energy Intake&lt;/keyword&gt;&lt;keyword&gt;Female&lt;/keyword&gt;&lt;keyword&gt;Fetal Blood/chemistry&lt;/keyword&gt;&lt;keyword&gt;Humans&lt;/keyword&gt;&lt;keyword&gt;Infant, Newborn/*blood&lt;/keyword&gt;&lt;keyword&gt;Lipids/*blood&lt;/keyword&gt;&lt;keyword&gt;Longitudinal Studies&lt;/keyword&gt;&lt;keyword&gt;Male&lt;/keyword&gt;&lt;keyword&gt;Pregnancy/*blood&lt;/keyword&gt;&lt;keyword&gt;Sex Factors&lt;/keyword&gt;&lt;/keywords&gt;&lt;dates&gt;&lt;year&gt;1995&lt;/year&gt;&lt;pub-dates&gt;&lt;date&gt;Apr&lt;/date&gt;&lt;/pub-dates&gt;&lt;/dates&gt;&lt;isbn&gt;0954-3007 (Print)&amp;#xD;0954-3007 (Linking)&lt;/isbn&gt;&lt;accession-num&gt;7796787&lt;/accession-num&gt;&lt;urls&gt;&lt;related-urls&gt;&lt;url&gt;http://www.ncbi.nlm.nih.gov/pubmed/7796787&lt;/url&gt;&lt;/related-urls&gt;&lt;/urls&gt;&lt;language&gt;eng&lt;/language&gt;&lt;/record&gt;&lt;/Cite&gt;&lt;/EndNote&gt;</w:instrText>
      </w:r>
      <w:r w:rsidR="004375A8">
        <w:fldChar w:fldCharType="separate"/>
      </w:r>
      <w:r w:rsidR="002B6D02" w:rsidRPr="002B6D02">
        <w:rPr>
          <w:noProof/>
          <w:vertAlign w:val="superscript"/>
        </w:rPr>
        <w:t>(</w:t>
      </w:r>
      <w:hyperlink w:anchor="_ENREF_10" w:tooltip="Alberti-Fidanza, 1995 #232" w:history="1">
        <w:r w:rsidR="002B6D02" w:rsidRPr="002B6D02">
          <w:rPr>
            <w:noProof/>
            <w:vertAlign w:val="superscript"/>
          </w:rPr>
          <w:t>10</w:t>
        </w:r>
      </w:hyperlink>
      <w:r w:rsidR="002B6D02" w:rsidRPr="002B6D02">
        <w:rPr>
          <w:noProof/>
          <w:vertAlign w:val="superscript"/>
        </w:rPr>
        <w:t>)</w:t>
      </w:r>
      <w:r w:rsidR="004375A8">
        <w:fldChar w:fldCharType="end"/>
      </w:r>
      <w:r w:rsidRPr="00C1477F">
        <w:t xml:space="preserve"> </w:t>
      </w:r>
      <w:r w:rsidR="004375A8">
        <w:fldChar w:fldCharType="begin">
          <w:fldData xml:space="preserve">PEVuZE5vdGU+PENpdGU+PEF1dGhvcj5Sb3k8L0F1dGhvcj48WWVhcj4xOTk0PC9ZZWFyPjxSZWNO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</w:fldData>
        </w:fldChar>
      </w:r>
      <w:r w:rsidR="002B6D02">
        <w:instrText xml:space="preserve"> ADDIN EN.CITE </w:instrText>
      </w:r>
      <w:r w:rsidR="004375A8">
        <w:fldChar w:fldCharType="begin">
          <w:fldData xml:space="preserve">PEVuZE5vdGU+PENpdGU+PEF1dGhvcj5Sb3k8L0F1dGhvcj48WWVhcj4xOTk0PC9ZZWFyPjxSZWNO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</w:fldData>
        </w:fldChar>
      </w:r>
      <w:r w:rsidR="002B6D02">
        <w:instrText xml:space="preserve"> ADDIN EN.CITE.DATA </w:instrText>
      </w:r>
      <w:r w:rsidR="004375A8">
        <w:fldChar w:fldCharType="end"/>
      </w:r>
      <w:r w:rsidR="004375A8">
        <w:fldChar w:fldCharType="separate"/>
      </w:r>
      <w:r w:rsidR="002B6D02" w:rsidRPr="002B6D02">
        <w:rPr>
          <w:noProof/>
          <w:vertAlign w:val="superscript"/>
        </w:rPr>
        <w:t>(</w:t>
      </w:r>
      <w:hyperlink w:anchor="_ENREF_11" w:tooltip="Roy, 1994 #233" w:history="1">
        <w:r w:rsidR="002B6D02" w:rsidRPr="002B6D02">
          <w:rPr>
            <w:noProof/>
            <w:vertAlign w:val="superscript"/>
          </w:rPr>
          <w:t>11</w:t>
        </w:r>
      </w:hyperlink>
      <w:r w:rsidR="002B6D02" w:rsidRPr="002B6D02">
        <w:rPr>
          <w:noProof/>
          <w:vertAlign w:val="superscript"/>
        </w:rPr>
        <w:t>)</w:t>
      </w:r>
      <w:r w:rsidR="004375A8">
        <w:fldChar w:fldCharType="end"/>
      </w:r>
      <w:r>
        <w:t>. Based on these data we derive a coefficient of variation for the sum of the variances of the cholesterol and triglyceride levels of about 35%.  From this, the mean fat content of 10 plasma samples should have a sampling uncertainty standard error of about 0.35/(10</w:t>
      </w:r>
      <w:r>
        <w:rPr>
          <w:sz w:val="32"/>
          <w:szCs w:val="32"/>
          <w:vertAlign w:val="superscript"/>
        </w:rPr>
        <w:t>0.5</w:t>
      </w:r>
      <w:r>
        <w:t xml:space="preserve">) = 11.1% of the mean.  Therefore the estimated fat/blood partition coefficient of 121 for late pregnant women should be considered to have a ± 1 standard error range at least as broad as about 107.5-134.5.  Corresponding uncertainties in tissue/blood partition coefficients for other tissues were inferred from this range (for example, the liver/blood partition coefficient was assumed to have a central value of 6.1 with a </w:t>
      </w:r>
      <w:proofErr w:type="spellStart"/>
      <w:r>
        <w:t>a</w:t>
      </w:r>
      <w:proofErr w:type="spellEnd"/>
      <w:r>
        <w:t xml:space="preserve"> ± 1 standard error range of 5.4-6.8.  This uncertainty is used below in our PBPK modeling analysis of the uncertainty in the external dose/blood translation factor.</w:t>
      </w:r>
    </w:p>
    <w:p w:rsidR="0071404D" w:rsidRPr="00FE1716" w:rsidRDefault="007812A9" w:rsidP="0071404D">
      <w:pPr>
        <w:pStyle w:val="Body"/>
      </w:pPr>
      <w:r>
        <w:t xml:space="preserve">Despite the expected insensitivity of these results to modest differences in human metabolism rates for </w:t>
      </w:r>
      <w:proofErr w:type="spellStart"/>
      <w:r>
        <w:t>chlorpyrifos</w:t>
      </w:r>
      <w:proofErr w:type="spellEnd"/>
      <w:r>
        <w:t xml:space="preserve">, one can still ask whether more recent data in humans should lead to any revision in the metabolism rate assumptions derived by </w:t>
      </w:r>
      <w:proofErr w:type="spellStart"/>
      <w:r>
        <w:t>Timchalk</w:t>
      </w:r>
      <w:proofErr w:type="spellEnd"/>
      <w:r>
        <w:t xml:space="preserve"> et al. from rat data. Recently, Smith et al. (2011) have published a fairly extensive set of </w:t>
      </w:r>
      <w:proofErr w:type="spellStart"/>
      <w:r>
        <w:t>chlorpyrifos</w:t>
      </w:r>
      <w:proofErr w:type="spellEnd"/>
      <w:r>
        <w:t xml:space="preserve"> metabolism measurements from liver </w:t>
      </w:r>
      <w:proofErr w:type="spellStart"/>
      <w:r>
        <w:t>microsome</w:t>
      </w:r>
      <w:proofErr w:type="spellEnd"/>
      <w:r>
        <w:t xml:space="preserve"> preparations from deceased people of a variety of ages</w:t>
      </w:r>
      <w:r w:rsidRPr="008E6952">
        <w:t xml:space="preserve"> </w:t>
      </w:r>
      <w:r w:rsidR="004375A8">
        <w:fldChar w:fldCharType="begin">
          <w:fldData xml:space="preserve">PEVuZE5vdGU+PENpdGU+PEF1dGhvcj5TbWl0aDwvQXV0aG9yPjxZZWFyPjIwMTE8L1llYXI+PFJl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</w:fldData>
        </w:fldChar>
      </w:r>
      <w:r w:rsidR="002B6D02">
        <w:instrText xml:space="preserve"> ADDIN EN.CITE </w:instrText>
      </w:r>
      <w:r w:rsidR="004375A8">
        <w:fldChar w:fldCharType="begin">
          <w:fldData xml:space="preserve">PEVuZE5vdGU+PENpdGU+PEF1dGhvcj5TbWl0aDwvQXV0aG9yPjxZZWFyPjIwMTE8L1llYXI+PFJl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</w:fldData>
        </w:fldChar>
      </w:r>
      <w:r w:rsidR="002B6D02">
        <w:instrText xml:space="preserve"> ADDIN EN.CITE.DATA </w:instrText>
      </w:r>
      <w:r w:rsidR="004375A8">
        <w:fldChar w:fldCharType="end"/>
      </w:r>
      <w:r w:rsidR="004375A8">
        <w:fldChar w:fldCharType="separate"/>
      </w:r>
      <w:r w:rsidR="002B6D02" w:rsidRPr="002B6D02">
        <w:rPr>
          <w:noProof/>
          <w:vertAlign w:val="superscript"/>
        </w:rPr>
        <w:t>(</w:t>
      </w:r>
      <w:hyperlink w:anchor="_ENREF_12" w:tooltip="Smith, 2011 #4" w:history="1">
        <w:r w:rsidR="002B6D02" w:rsidRPr="002B6D02">
          <w:rPr>
            <w:noProof/>
            <w:vertAlign w:val="superscript"/>
          </w:rPr>
          <w:t>12</w:t>
        </w:r>
      </w:hyperlink>
      <w:r w:rsidR="002B6D02" w:rsidRPr="002B6D02">
        <w:rPr>
          <w:noProof/>
          <w:vertAlign w:val="superscript"/>
        </w:rPr>
        <w:t>)</w:t>
      </w:r>
      <w:r w:rsidR="004375A8">
        <w:fldChar w:fldCharType="end"/>
      </w:r>
      <w:r>
        <w:t xml:space="preserve"> (Table S5</w:t>
      </w:r>
      <w:r w:rsidR="00E07A4F">
        <w:t>—corresponds to Table IV of the final technical report</w:t>
      </w:r>
      <w:r>
        <w:t xml:space="preserve">).  These data provide the basis to reevaluate the original </w:t>
      </w:r>
      <w:proofErr w:type="spellStart"/>
      <w:r>
        <w:t>Timchalk</w:t>
      </w:r>
      <w:proofErr w:type="spellEnd"/>
      <w:r>
        <w:t xml:space="preserve"> et al. assumptions, and further test for differences by age and gender.   There are trends toward some differences by</w:t>
      </w:r>
      <w:r w:rsidR="00415BC1">
        <w:t xml:space="preserve"> </w:t>
      </w:r>
      <w:r w:rsidR="00774DF0">
        <w:t xml:space="preserve">gender, </w:t>
      </w:r>
      <w:r w:rsidR="0071404D">
        <w:t xml:space="preserve">gender, with women having modestly lower rates of intrinsic clearance, but these differences are not large enough to reach statistical significance by usual criteria (P = 0.22 considering all females </w:t>
      </w:r>
      <w:proofErr w:type="spellStart"/>
      <w:r w:rsidR="0071404D">
        <w:t>vs</w:t>
      </w:r>
      <w:proofErr w:type="spellEnd"/>
      <w:r w:rsidR="0071404D">
        <w:t xml:space="preserve"> all males; P = 0.13 considering only data for five adult females </w:t>
      </w:r>
      <w:proofErr w:type="spellStart"/>
      <w:r w:rsidR="0071404D">
        <w:t>vs</w:t>
      </w:r>
      <w:proofErr w:type="spellEnd"/>
      <w:r w:rsidR="0071404D">
        <w:t xml:space="preserve"> five adult males).</w:t>
      </w:r>
    </w:p>
    <w:p w:rsidR="0071404D" w:rsidRDefault="0071404D" w:rsidP="0071404D">
      <w:pPr>
        <w:rPr>
          <w:rFonts w:ascii="Times New Roman" w:hAnsi="Times New Roman" w:cs="Times New Roman"/>
        </w:rPr>
      </w:pPr>
    </w:p>
    <w:p w:rsidR="0071404D" w:rsidRDefault="0071404D" w:rsidP="0071404D">
      <w:pPr>
        <w:rPr>
          <w:rFonts w:ascii="Times New Roman" w:hAnsi="Times New Roman" w:cs="Times New Roman"/>
        </w:rPr>
      </w:pPr>
      <w:r w:rsidRPr="00333E13">
        <w:rPr>
          <w:rFonts w:ascii="Times New Roman" w:hAnsi="Times New Roman" w:cs="Times New Roman"/>
        </w:rPr>
        <w:t xml:space="preserve">Conversion of these </w:t>
      </w:r>
      <w:r>
        <w:rPr>
          <w:rFonts w:ascii="Times New Roman" w:hAnsi="Times New Roman" w:cs="Times New Roman"/>
          <w:i/>
        </w:rPr>
        <w:t xml:space="preserve">in vitro </w:t>
      </w:r>
      <w:r w:rsidRPr="00333E13">
        <w:rPr>
          <w:rFonts w:ascii="Times New Roman" w:hAnsi="Times New Roman" w:cs="Times New Roman"/>
        </w:rPr>
        <w:t xml:space="preserve">results </w:t>
      </w:r>
      <w:r>
        <w:rPr>
          <w:rFonts w:ascii="Times New Roman" w:hAnsi="Times New Roman" w:cs="Times New Roman"/>
        </w:rPr>
        <w:t xml:space="preserve">to estimates of </w:t>
      </w:r>
      <w:r>
        <w:rPr>
          <w:rFonts w:ascii="Times New Roman" w:hAnsi="Times New Roman" w:cs="Times New Roman"/>
          <w:i/>
        </w:rPr>
        <w:t xml:space="preserve">in vivo </w:t>
      </w:r>
      <w:r>
        <w:rPr>
          <w:rFonts w:ascii="Times New Roman" w:hAnsi="Times New Roman" w:cs="Times New Roman"/>
        </w:rPr>
        <w:t xml:space="preserve">clearance </w:t>
      </w:r>
      <w:r w:rsidRPr="00333E13">
        <w:rPr>
          <w:rFonts w:ascii="Times New Roman" w:hAnsi="Times New Roman" w:cs="Times New Roman"/>
        </w:rPr>
        <w:t>requires an assumption about the amount of microsomal protein present in human liver. Based on a compilation of earlier observations</w:t>
      </w:r>
      <w:r w:rsidR="004375A8" w:rsidRPr="00333E13">
        <w:rPr>
          <w:rFonts w:ascii="Times New Roman" w:hAnsi="Times New Roman" w:cs="Times New Roman"/>
        </w:rPr>
        <w:fldChar w:fldCharType="begin">
          <w:fldData xml:space="preserve">PEVuZE5vdGU+PENpdGU+PEF1dGhvcj5CYXJ0ZXI8L0F1dGhvcj48WWVhcj4yMDA3PC9ZZWFyPjxS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</w:fldData>
        </w:fldChar>
      </w:r>
      <w:r w:rsidR="002B6D02">
        <w:rPr>
          <w:rFonts w:ascii="Times New Roman" w:hAnsi="Times New Roman" w:cs="Times New Roman"/>
        </w:rPr>
        <w:instrText xml:space="preserve"> ADDIN EN.CITE </w:instrText>
      </w:r>
      <w:r w:rsidR="004375A8">
        <w:rPr>
          <w:rFonts w:ascii="Times New Roman" w:hAnsi="Times New Roman" w:cs="Times New Roman"/>
        </w:rPr>
        <w:fldChar w:fldCharType="begin">
          <w:fldData xml:space="preserve">PEVuZE5vdGU+PENpdGU+PEF1dGhvcj5CYXJ0ZXI8L0F1dGhvcj48WWVhcj4yMDA3PC9ZZWFyPjxS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</w:fldData>
        </w:fldChar>
      </w:r>
      <w:r w:rsidR="002B6D02">
        <w:rPr>
          <w:rFonts w:ascii="Times New Roman" w:hAnsi="Times New Roman" w:cs="Times New Roman"/>
        </w:rPr>
        <w:instrText xml:space="preserve"> ADDIN EN.CITE.DATA </w:instrText>
      </w:r>
      <w:r w:rsidR="004375A8">
        <w:rPr>
          <w:rFonts w:ascii="Times New Roman" w:hAnsi="Times New Roman" w:cs="Times New Roman"/>
        </w:rPr>
      </w:r>
      <w:r w:rsidR="004375A8">
        <w:rPr>
          <w:rFonts w:ascii="Times New Roman" w:hAnsi="Times New Roman" w:cs="Times New Roman"/>
        </w:rPr>
        <w:fldChar w:fldCharType="end"/>
      </w:r>
      <w:r w:rsidR="004375A8" w:rsidRPr="00333E13">
        <w:rPr>
          <w:rFonts w:ascii="Times New Roman" w:hAnsi="Times New Roman" w:cs="Times New Roman"/>
        </w:rPr>
      </w:r>
      <w:r w:rsidR="004375A8" w:rsidRPr="00333E13">
        <w:rPr>
          <w:rFonts w:ascii="Times New Roman" w:hAnsi="Times New Roman" w:cs="Times New Roman"/>
        </w:rPr>
        <w:fldChar w:fldCharType="separate"/>
      </w:r>
      <w:r w:rsidR="002B6D02" w:rsidRPr="002B6D02">
        <w:rPr>
          <w:rFonts w:ascii="Times New Roman" w:hAnsi="Times New Roman" w:cs="Times New Roman"/>
          <w:noProof/>
          <w:vertAlign w:val="superscript"/>
        </w:rPr>
        <w:t>(</w:t>
      </w:r>
      <w:hyperlink w:anchor="_ENREF_13" w:tooltip="Barter, 2007 #41" w:history="1">
        <w:r w:rsidR="002B6D02" w:rsidRPr="002B6D02">
          <w:rPr>
            <w:rFonts w:ascii="Times New Roman" w:hAnsi="Times New Roman" w:cs="Times New Roman"/>
            <w:noProof/>
            <w:vertAlign w:val="superscript"/>
          </w:rPr>
          <w:t>13</w:t>
        </w:r>
      </w:hyperlink>
      <w:r w:rsidR="002B6D02" w:rsidRPr="002B6D02">
        <w:rPr>
          <w:rFonts w:ascii="Times New Roman" w:hAnsi="Times New Roman" w:cs="Times New Roman"/>
          <w:noProof/>
          <w:vertAlign w:val="superscript"/>
        </w:rPr>
        <w:t>)</w:t>
      </w:r>
      <w:r w:rsidR="004375A8" w:rsidRPr="00333E13">
        <w:rPr>
          <w:rFonts w:ascii="Times New Roman" w:hAnsi="Times New Roman" w:cs="Times New Roman"/>
        </w:rPr>
        <w:fldChar w:fldCharType="end"/>
      </w:r>
      <w:r w:rsidRPr="00333E13">
        <w:rPr>
          <w:rFonts w:ascii="Times New Roman" w:hAnsi="Times New Roman" w:cs="Times New Roman"/>
        </w:rPr>
        <w:t xml:space="preserve"> </w:t>
      </w:r>
      <w:r w:rsidR="004375A8" w:rsidRPr="00333E13">
        <w:rPr>
          <w:rFonts w:ascii="Times New Roman" w:hAnsi="Times New Roman" w:cs="Times New Roman"/>
        </w:rPr>
        <w:fldChar w:fldCharType="begin">
          <w:fldData xml:space="preserve">PEVuZE5vdGU+PENpdGU+PEF1dGhvcj5CYXJ0ZXI8L0F1dGhvcj48WWVhcj4yMDA4PC9ZZWFyPjxS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</w:fldData>
        </w:fldChar>
      </w:r>
      <w:r w:rsidR="002B6D02">
        <w:rPr>
          <w:rFonts w:ascii="Times New Roman" w:hAnsi="Times New Roman" w:cs="Times New Roman"/>
        </w:rPr>
        <w:instrText xml:space="preserve"> ADDIN EN.CITE </w:instrText>
      </w:r>
      <w:r w:rsidR="004375A8">
        <w:rPr>
          <w:rFonts w:ascii="Times New Roman" w:hAnsi="Times New Roman" w:cs="Times New Roman"/>
        </w:rPr>
        <w:fldChar w:fldCharType="begin">
          <w:fldData xml:space="preserve">PEVuZE5vdGU+PENpdGU+PEF1dGhvcj5CYXJ0ZXI8L0F1dGhvcj48WWVhcj4yMDA4PC9ZZWFyPjxS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</w:fldData>
        </w:fldChar>
      </w:r>
      <w:r w:rsidR="002B6D02">
        <w:rPr>
          <w:rFonts w:ascii="Times New Roman" w:hAnsi="Times New Roman" w:cs="Times New Roman"/>
        </w:rPr>
        <w:instrText xml:space="preserve"> ADDIN EN.CITE.DATA </w:instrText>
      </w:r>
      <w:r w:rsidR="004375A8">
        <w:rPr>
          <w:rFonts w:ascii="Times New Roman" w:hAnsi="Times New Roman" w:cs="Times New Roman"/>
        </w:rPr>
      </w:r>
      <w:r w:rsidR="004375A8">
        <w:rPr>
          <w:rFonts w:ascii="Times New Roman" w:hAnsi="Times New Roman" w:cs="Times New Roman"/>
        </w:rPr>
        <w:fldChar w:fldCharType="end"/>
      </w:r>
      <w:r w:rsidR="004375A8" w:rsidRPr="00333E13">
        <w:rPr>
          <w:rFonts w:ascii="Times New Roman" w:hAnsi="Times New Roman" w:cs="Times New Roman"/>
        </w:rPr>
      </w:r>
      <w:r w:rsidR="004375A8" w:rsidRPr="00333E13">
        <w:rPr>
          <w:rFonts w:ascii="Times New Roman" w:hAnsi="Times New Roman" w:cs="Times New Roman"/>
        </w:rPr>
        <w:fldChar w:fldCharType="separate"/>
      </w:r>
      <w:r w:rsidR="002B6D02" w:rsidRPr="002B6D02">
        <w:rPr>
          <w:rFonts w:ascii="Times New Roman" w:hAnsi="Times New Roman" w:cs="Times New Roman"/>
          <w:noProof/>
          <w:vertAlign w:val="superscript"/>
        </w:rPr>
        <w:t>(</w:t>
      </w:r>
      <w:hyperlink w:anchor="_ENREF_14" w:tooltip="Barter, 2008 #4" w:history="1">
        <w:r w:rsidR="002B6D02" w:rsidRPr="002B6D02">
          <w:rPr>
            <w:rFonts w:ascii="Times New Roman" w:hAnsi="Times New Roman" w:cs="Times New Roman"/>
            <w:noProof/>
            <w:vertAlign w:val="superscript"/>
          </w:rPr>
          <w:t>14</w:t>
        </w:r>
      </w:hyperlink>
      <w:r w:rsidR="002B6D02" w:rsidRPr="002B6D02">
        <w:rPr>
          <w:rFonts w:ascii="Times New Roman" w:hAnsi="Times New Roman" w:cs="Times New Roman"/>
          <w:noProof/>
          <w:vertAlign w:val="superscript"/>
        </w:rPr>
        <w:t>)</w:t>
      </w:r>
      <w:r w:rsidR="004375A8" w:rsidRPr="00333E13">
        <w:rPr>
          <w:rFonts w:ascii="Times New Roman" w:hAnsi="Times New Roman" w:cs="Times New Roman"/>
        </w:rPr>
        <w:fldChar w:fldCharType="end"/>
      </w:r>
      <w:r w:rsidRPr="00333E13">
        <w:rPr>
          <w:rFonts w:ascii="Times New Roman" w:hAnsi="Times New Roman" w:cs="Times New Roman"/>
        </w:rPr>
        <w:t xml:space="preserve"> by </w:t>
      </w:r>
      <w:proofErr w:type="spellStart"/>
      <w:r w:rsidRPr="00333E13">
        <w:rPr>
          <w:rFonts w:ascii="Times New Roman" w:hAnsi="Times New Roman" w:cs="Times New Roman"/>
        </w:rPr>
        <w:t>Cubitt</w:t>
      </w:r>
      <w:proofErr w:type="spellEnd"/>
      <w:r w:rsidRPr="00333E13">
        <w:rPr>
          <w:rFonts w:ascii="Times New Roman" w:hAnsi="Times New Roman" w:cs="Times New Roman"/>
        </w:rPr>
        <w:t xml:space="preserve">  </w:t>
      </w:r>
      <w:r w:rsidR="004375A8" w:rsidRPr="00333E13">
        <w:rPr>
          <w:rFonts w:ascii="Times New Roman" w:hAnsi="Times New Roman" w:cs="Times New Roman"/>
        </w:rPr>
        <w:fldChar w:fldCharType="begin">
          <w:fldData xml:space="preserve">PEVuZE5vdGU+PENpdGU+PEF1dGhvcj5DdWJpdHQ8L0F1dGhvcj48WWVhcj4yMDExPC9ZZWFyPjxS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</w:fldData>
        </w:fldChar>
      </w:r>
      <w:r w:rsidR="002B6D02">
        <w:rPr>
          <w:rFonts w:ascii="Times New Roman" w:hAnsi="Times New Roman" w:cs="Times New Roman"/>
        </w:rPr>
        <w:instrText xml:space="preserve"> ADDIN EN.CITE </w:instrText>
      </w:r>
      <w:r w:rsidR="004375A8">
        <w:rPr>
          <w:rFonts w:ascii="Times New Roman" w:hAnsi="Times New Roman" w:cs="Times New Roman"/>
        </w:rPr>
        <w:fldChar w:fldCharType="begin">
          <w:fldData xml:space="preserve">PEVuZE5vdGU+PENpdGU+PEF1dGhvcj5DdWJpdHQ8L0F1dGhvcj48WWVhcj4yMDExPC9ZZWFyPjxS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</w:fldData>
        </w:fldChar>
      </w:r>
      <w:r w:rsidR="002B6D02">
        <w:rPr>
          <w:rFonts w:ascii="Times New Roman" w:hAnsi="Times New Roman" w:cs="Times New Roman"/>
        </w:rPr>
        <w:instrText xml:space="preserve"> ADDIN EN.CITE.DATA </w:instrText>
      </w:r>
      <w:r w:rsidR="004375A8">
        <w:rPr>
          <w:rFonts w:ascii="Times New Roman" w:hAnsi="Times New Roman" w:cs="Times New Roman"/>
        </w:rPr>
      </w:r>
      <w:r w:rsidR="004375A8">
        <w:rPr>
          <w:rFonts w:ascii="Times New Roman" w:hAnsi="Times New Roman" w:cs="Times New Roman"/>
        </w:rPr>
        <w:fldChar w:fldCharType="end"/>
      </w:r>
      <w:r w:rsidR="004375A8" w:rsidRPr="00333E13">
        <w:rPr>
          <w:rFonts w:ascii="Times New Roman" w:hAnsi="Times New Roman" w:cs="Times New Roman"/>
        </w:rPr>
      </w:r>
      <w:r w:rsidR="004375A8" w:rsidRPr="00333E13">
        <w:rPr>
          <w:rFonts w:ascii="Times New Roman" w:hAnsi="Times New Roman" w:cs="Times New Roman"/>
        </w:rPr>
        <w:fldChar w:fldCharType="separate"/>
      </w:r>
      <w:r w:rsidR="002B6D02" w:rsidRPr="002B6D02">
        <w:rPr>
          <w:rFonts w:ascii="Times New Roman" w:hAnsi="Times New Roman" w:cs="Times New Roman"/>
          <w:noProof/>
          <w:vertAlign w:val="superscript"/>
        </w:rPr>
        <w:t>(</w:t>
      </w:r>
      <w:hyperlink w:anchor="_ENREF_15" w:tooltip="Cubitt, 2011 #2" w:history="1">
        <w:r w:rsidR="002B6D02" w:rsidRPr="002B6D02">
          <w:rPr>
            <w:rFonts w:ascii="Times New Roman" w:hAnsi="Times New Roman" w:cs="Times New Roman"/>
            <w:noProof/>
            <w:vertAlign w:val="superscript"/>
          </w:rPr>
          <w:t>15</w:t>
        </w:r>
      </w:hyperlink>
      <w:r w:rsidR="002B6D02" w:rsidRPr="002B6D02">
        <w:rPr>
          <w:rFonts w:ascii="Times New Roman" w:hAnsi="Times New Roman" w:cs="Times New Roman"/>
          <w:noProof/>
          <w:vertAlign w:val="superscript"/>
        </w:rPr>
        <w:t>)</w:t>
      </w:r>
      <w:r w:rsidR="004375A8" w:rsidRPr="00333E13">
        <w:rPr>
          <w:rFonts w:ascii="Times New Roman" w:hAnsi="Times New Roman" w:cs="Times New Roman"/>
        </w:rPr>
        <w:fldChar w:fldCharType="end"/>
      </w:r>
      <w:r w:rsidRPr="00333E13">
        <w:rPr>
          <w:rFonts w:ascii="Times New Roman" w:hAnsi="Times New Roman" w:cs="Times New Roman"/>
        </w:rPr>
        <w:t xml:space="preserve"> an average </w:t>
      </w:r>
      <w:r>
        <w:rPr>
          <w:rFonts w:ascii="Times New Roman" w:hAnsi="Times New Roman" w:cs="Times New Roman"/>
        </w:rPr>
        <w:t xml:space="preserve">liver </w:t>
      </w:r>
      <w:proofErr w:type="spellStart"/>
      <w:r>
        <w:rPr>
          <w:rFonts w:ascii="Times New Roman" w:hAnsi="Times New Roman" w:cs="Times New Roman"/>
        </w:rPr>
        <w:t>microsome</w:t>
      </w:r>
      <w:proofErr w:type="spellEnd"/>
      <w:r>
        <w:rPr>
          <w:rFonts w:ascii="Times New Roman" w:hAnsi="Times New Roman" w:cs="Times New Roman"/>
        </w:rPr>
        <w:t xml:space="preserve"> content</w:t>
      </w:r>
      <w:r w:rsidRPr="00333E13">
        <w:rPr>
          <w:rFonts w:ascii="Times New Roman" w:hAnsi="Times New Roman" w:cs="Times New Roman"/>
        </w:rPr>
        <w:t xml:space="preserve"> </w:t>
      </w:r>
      <w:r>
        <w:rPr>
          <w:rFonts w:ascii="Times New Roman" w:hAnsi="Times New Roman" w:cs="Times New Roman"/>
        </w:rPr>
        <w:t>is about</w:t>
      </w:r>
      <w:r w:rsidRPr="00333E13">
        <w:rPr>
          <w:rFonts w:ascii="Times New Roman" w:hAnsi="Times New Roman" w:cs="Times New Roman"/>
        </w:rPr>
        <w:t xml:space="preserve"> 39.8 mg of microsomal protein per gram of liver (coefficient of variation = 27%) and an average value for the size of the human liver is about 1.59 liters (coefficient of variation = 12%</w:t>
      </w:r>
      <w:r>
        <w:rPr>
          <w:rFonts w:ascii="Times New Roman" w:hAnsi="Times New Roman" w:cs="Times New Roman"/>
        </w:rPr>
        <w:t>.</w:t>
      </w:r>
    </w:p>
    <w:p w:rsidR="007812A9" w:rsidRDefault="007812A9" w:rsidP="00FE0200">
      <w:pPr>
        <w:rPr>
          <w:b/>
        </w:rPr>
      </w:pPr>
    </w:p>
    <w:p w:rsidR="007812A9" w:rsidRDefault="007812A9">
      <w:pPr>
        <w:rPr>
          <w:b/>
        </w:rPr>
      </w:pPr>
      <w:r>
        <w:rPr>
          <w:b/>
        </w:rPr>
        <w:br w:type="page"/>
      </w:r>
    </w:p>
    <w:p w:rsidR="00FE0200" w:rsidRDefault="00FE0200" w:rsidP="00FE0200">
      <w:r w:rsidRPr="00AD5812">
        <w:rPr>
          <w:b/>
        </w:rPr>
        <w:lastRenderedPageBreak/>
        <w:t xml:space="preserve">Table </w:t>
      </w:r>
      <w:r w:rsidR="007812A9">
        <w:rPr>
          <w:b/>
        </w:rPr>
        <w:t>S5</w:t>
      </w:r>
      <w:r w:rsidR="00E07A4F">
        <w:rPr>
          <w:b/>
        </w:rPr>
        <w:t>—Corresponds to Table IV of the Final Technical Report</w:t>
      </w:r>
      <w:r>
        <w:t xml:space="preserve">.  Summary Statistical Analysis of Data from Smith et al (2011) on Metabolic Activation and Inactivation Rates Observed in Liver </w:t>
      </w:r>
      <w:proofErr w:type="spellStart"/>
      <w:r>
        <w:t>Microsome</w:t>
      </w:r>
      <w:proofErr w:type="spellEnd"/>
      <w:r>
        <w:t xml:space="preserve"> Preparations from Recently Deceased Humans of Different Ages</w:t>
      </w:r>
    </w:p>
    <w:tbl>
      <w:tblPr>
        <w:tblW w:w="9551" w:type="dxa"/>
        <w:tblInd w:w="93" w:type="dxa"/>
        <w:tblLayout w:type="fixed"/>
        <w:tblLook w:val="04A0"/>
      </w:tblPr>
      <w:tblGrid>
        <w:gridCol w:w="1275"/>
        <w:gridCol w:w="1902"/>
        <w:gridCol w:w="1980"/>
        <w:gridCol w:w="2160"/>
        <w:gridCol w:w="2234"/>
      </w:tblGrid>
      <w:tr w:rsidR="00FE0200" w:rsidRPr="008E6952" w:rsidTr="003C352E">
        <w:trPr>
          <w:trHeight w:val="960"/>
        </w:trPr>
        <w:tc>
          <w:tcPr>
            <w:tcW w:w="1275" w:type="dxa"/>
            <w:tcBorders>
              <w:bottom w:val="single" w:sz="6" w:space="0" w:color="auto"/>
            </w:tcBorders>
            <w:shd w:val="clear" w:color="auto" w:fill="auto"/>
            <w:vAlign w:val="bottom"/>
            <w:hideMark/>
          </w:tcPr>
          <w:p w:rsidR="00FE0200" w:rsidRPr="008E6952" w:rsidRDefault="00FE0200" w:rsidP="003C352E">
            <w:pPr>
              <w:jc w:val="center"/>
              <w:rPr>
                <w:rFonts w:ascii="Times" w:eastAsia="Times New Roman" w:hAnsi="Times" w:cs="Times New Roman"/>
                <w:sz w:val="20"/>
                <w:szCs w:val="20"/>
                <w:lang w:eastAsia="en-US"/>
              </w:rPr>
            </w:pPr>
            <w:r w:rsidRPr="008E6952">
              <w:rPr>
                <w:rFonts w:ascii="Times" w:eastAsia="Times New Roman" w:hAnsi="Times" w:cs="Times New Roman"/>
                <w:sz w:val="20"/>
                <w:szCs w:val="20"/>
                <w:lang w:eastAsia="en-US"/>
              </w:rPr>
              <w:t>Subject</w:t>
            </w:r>
          </w:p>
        </w:tc>
        <w:tc>
          <w:tcPr>
            <w:tcW w:w="1902" w:type="dxa"/>
            <w:tcBorders>
              <w:bottom w:val="single" w:sz="6" w:space="0" w:color="auto"/>
            </w:tcBorders>
            <w:shd w:val="clear" w:color="auto" w:fill="auto"/>
            <w:vAlign w:val="bottom"/>
            <w:hideMark/>
          </w:tcPr>
          <w:p w:rsidR="00FE0200" w:rsidRPr="008E6952" w:rsidRDefault="00FE0200" w:rsidP="003C352E">
            <w:pPr>
              <w:jc w:val="center"/>
              <w:rPr>
                <w:rFonts w:ascii="Times" w:eastAsia="Times New Roman" w:hAnsi="Times" w:cs="Times New Roman"/>
                <w:sz w:val="20"/>
                <w:szCs w:val="20"/>
                <w:lang w:eastAsia="en-US"/>
              </w:rPr>
            </w:pPr>
            <w:proofErr w:type="spellStart"/>
            <w:r w:rsidRPr="008E6952">
              <w:rPr>
                <w:rFonts w:ascii="Times" w:eastAsia="Times New Roman" w:hAnsi="Times" w:cs="Times New Roman"/>
                <w:sz w:val="20"/>
                <w:szCs w:val="20"/>
                <w:lang w:eastAsia="en-US"/>
              </w:rPr>
              <w:t>Dearylation</w:t>
            </w:r>
            <w:proofErr w:type="spellEnd"/>
            <w:r w:rsidRPr="008E6952">
              <w:rPr>
                <w:rFonts w:ascii="Times" w:eastAsia="Times New Roman" w:hAnsi="Times" w:cs="Times New Roman"/>
                <w:sz w:val="20"/>
                <w:szCs w:val="20"/>
                <w:lang w:eastAsia="en-US"/>
              </w:rPr>
              <w:t xml:space="preserve"> </w:t>
            </w:r>
            <w:proofErr w:type="spellStart"/>
            <w:r w:rsidRPr="008E6952">
              <w:rPr>
                <w:rFonts w:ascii="Times" w:eastAsia="Times New Roman" w:hAnsi="Times" w:cs="Times New Roman"/>
                <w:sz w:val="20"/>
                <w:szCs w:val="20"/>
                <w:lang w:eastAsia="en-US"/>
              </w:rPr>
              <w:t>Ci</w:t>
            </w:r>
            <w:proofErr w:type="spellEnd"/>
            <w:r w:rsidRPr="008E6952">
              <w:rPr>
                <w:rFonts w:ascii="Times" w:eastAsia="Times New Roman" w:hAnsi="Times" w:cs="Times New Roman"/>
                <w:sz w:val="20"/>
                <w:szCs w:val="20"/>
                <w:lang w:eastAsia="en-US"/>
              </w:rPr>
              <w:t xml:space="preserve"> µl/(min-mg </w:t>
            </w:r>
            <w:proofErr w:type="spellStart"/>
            <w:r w:rsidRPr="008E6952">
              <w:rPr>
                <w:rFonts w:ascii="Times" w:eastAsia="Times New Roman" w:hAnsi="Times" w:cs="Times New Roman"/>
                <w:sz w:val="20"/>
                <w:szCs w:val="20"/>
                <w:lang w:eastAsia="en-US"/>
              </w:rPr>
              <w:t>microsomal</w:t>
            </w:r>
            <w:proofErr w:type="spellEnd"/>
            <w:r w:rsidRPr="008E6952">
              <w:rPr>
                <w:rFonts w:ascii="Times" w:eastAsia="Times New Roman" w:hAnsi="Times" w:cs="Times New Roman"/>
                <w:sz w:val="20"/>
                <w:szCs w:val="20"/>
                <w:lang w:eastAsia="en-US"/>
              </w:rPr>
              <w:t xml:space="preserve"> protein)</w:t>
            </w:r>
          </w:p>
        </w:tc>
        <w:tc>
          <w:tcPr>
            <w:tcW w:w="1980" w:type="dxa"/>
            <w:tcBorders>
              <w:bottom w:val="single" w:sz="6" w:space="0" w:color="auto"/>
            </w:tcBorders>
            <w:shd w:val="clear" w:color="auto" w:fill="auto"/>
            <w:vAlign w:val="bottom"/>
            <w:hideMark/>
          </w:tcPr>
          <w:p w:rsidR="00FE0200" w:rsidRPr="008E6952" w:rsidRDefault="00FE0200" w:rsidP="003C352E">
            <w:pPr>
              <w:jc w:val="center"/>
              <w:rPr>
                <w:rFonts w:ascii="Times" w:eastAsia="Times New Roman" w:hAnsi="Times" w:cs="Times New Roman"/>
                <w:sz w:val="20"/>
                <w:szCs w:val="20"/>
                <w:lang w:eastAsia="en-US"/>
              </w:rPr>
            </w:pPr>
            <w:proofErr w:type="spellStart"/>
            <w:r w:rsidRPr="008E6952">
              <w:rPr>
                <w:rFonts w:ascii="Times" w:eastAsia="Times New Roman" w:hAnsi="Times" w:cs="Times New Roman"/>
                <w:sz w:val="20"/>
                <w:szCs w:val="20"/>
                <w:lang w:eastAsia="en-US"/>
              </w:rPr>
              <w:t>Desulfuration</w:t>
            </w:r>
            <w:proofErr w:type="spellEnd"/>
            <w:r w:rsidRPr="008E6952">
              <w:rPr>
                <w:rFonts w:ascii="Times" w:eastAsia="Times New Roman" w:hAnsi="Times" w:cs="Times New Roman"/>
                <w:sz w:val="20"/>
                <w:szCs w:val="20"/>
                <w:lang w:eastAsia="en-US"/>
              </w:rPr>
              <w:t xml:space="preserve"> </w:t>
            </w:r>
            <w:proofErr w:type="spellStart"/>
            <w:r w:rsidRPr="008E6952">
              <w:rPr>
                <w:rFonts w:ascii="Times" w:eastAsia="Times New Roman" w:hAnsi="Times" w:cs="Times New Roman"/>
                <w:sz w:val="20"/>
                <w:szCs w:val="20"/>
                <w:lang w:eastAsia="en-US"/>
              </w:rPr>
              <w:t>Ci</w:t>
            </w:r>
            <w:proofErr w:type="spellEnd"/>
            <w:r w:rsidRPr="008E6952">
              <w:rPr>
                <w:rFonts w:ascii="Times" w:eastAsia="Times New Roman" w:hAnsi="Times" w:cs="Times New Roman"/>
                <w:sz w:val="20"/>
                <w:szCs w:val="20"/>
                <w:lang w:eastAsia="en-US"/>
              </w:rPr>
              <w:t xml:space="preserve"> µl/(min-mg </w:t>
            </w:r>
            <w:proofErr w:type="spellStart"/>
            <w:r w:rsidRPr="008E6952">
              <w:rPr>
                <w:rFonts w:ascii="Times" w:eastAsia="Times New Roman" w:hAnsi="Times" w:cs="Times New Roman"/>
                <w:sz w:val="20"/>
                <w:szCs w:val="20"/>
                <w:lang w:eastAsia="en-US"/>
              </w:rPr>
              <w:t>microsomal</w:t>
            </w:r>
            <w:proofErr w:type="spellEnd"/>
            <w:r w:rsidRPr="008E6952">
              <w:rPr>
                <w:rFonts w:ascii="Times" w:eastAsia="Times New Roman" w:hAnsi="Times" w:cs="Times New Roman"/>
                <w:sz w:val="20"/>
                <w:szCs w:val="20"/>
                <w:lang w:eastAsia="en-US"/>
              </w:rPr>
              <w:t xml:space="preserve"> protein)</w:t>
            </w:r>
          </w:p>
        </w:tc>
        <w:tc>
          <w:tcPr>
            <w:tcW w:w="2160" w:type="dxa"/>
            <w:tcBorders>
              <w:bottom w:val="single" w:sz="6" w:space="0" w:color="auto"/>
            </w:tcBorders>
            <w:shd w:val="clear" w:color="auto" w:fill="auto"/>
            <w:vAlign w:val="bottom"/>
            <w:hideMark/>
          </w:tcPr>
          <w:p w:rsidR="00FE0200" w:rsidRPr="008E6952" w:rsidRDefault="00FE0200" w:rsidP="003C352E">
            <w:pPr>
              <w:jc w:val="center"/>
              <w:rPr>
                <w:rFonts w:ascii="Times" w:eastAsia="Times New Roman" w:hAnsi="Times" w:cs="Times New Roman"/>
                <w:sz w:val="20"/>
                <w:szCs w:val="20"/>
                <w:lang w:eastAsia="en-US"/>
              </w:rPr>
            </w:pPr>
            <w:r w:rsidRPr="008E6952">
              <w:rPr>
                <w:rFonts w:ascii="Times" w:eastAsia="Times New Roman" w:hAnsi="Times" w:cs="Times New Roman"/>
                <w:sz w:val="20"/>
                <w:szCs w:val="20"/>
                <w:lang w:eastAsia="en-US"/>
              </w:rPr>
              <w:t>Fraction activated (</w:t>
            </w:r>
            <w:proofErr w:type="spellStart"/>
            <w:r w:rsidRPr="008E6952">
              <w:rPr>
                <w:rFonts w:ascii="Times" w:eastAsia="Times New Roman" w:hAnsi="Times" w:cs="Times New Roman"/>
                <w:sz w:val="20"/>
                <w:szCs w:val="20"/>
                <w:lang w:eastAsia="en-US"/>
              </w:rPr>
              <w:t>desulf</w:t>
            </w:r>
            <w:proofErr w:type="spellEnd"/>
            <w:r w:rsidRPr="008E6952">
              <w:rPr>
                <w:rFonts w:ascii="Times" w:eastAsia="Times New Roman" w:hAnsi="Times" w:cs="Times New Roman"/>
                <w:sz w:val="20"/>
                <w:szCs w:val="20"/>
                <w:lang w:eastAsia="en-US"/>
              </w:rPr>
              <w:t>/(</w:t>
            </w:r>
            <w:proofErr w:type="spellStart"/>
            <w:r w:rsidRPr="008E6952">
              <w:rPr>
                <w:rFonts w:ascii="Times" w:eastAsia="Times New Roman" w:hAnsi="Times" w:cs="Times New Roman"/>
                <w:sz w:val="20"/>
                <w:szCs w:val="20"/>
                <w:lang w:eastAsia="en-US"/>
              </w:rPr>
              <w:t>dear+desulf</w:t>
            </w:r>
            <w:proofErr w:type="spellEnd"/>
            <w:r w:rsidRPr="008E6952">
              <w:rPr>
                <w:rFonts w:ascii="Times" w:eastAsia="Times New Roman" w:hAnsi="Times" w:cs="Times New Roman"/>
                <w:sz w:val="20"/>
                <w:szCs w:val="20"/>
                <w:lang w:eastAsia="en-US"/>
              </w:rPr>
              <w:t>)</w:t>
            </w:r>
          </w:p>
        </w:tc>
        <w:tc>
          <w:tcPr>
            <w:tcW w:w="2234" w:type="dxa"/>
            <w:tcBorders>
              <w:bottom w:val="single" w:sz="6" w:space="0" w:color="auto"/>
            </w:tcBorders>
            <w:shd w:val="clear" w:color="auto" w:fill="auto"/>
            <w:vAlign w:val="bottom"/>
            <w:hideMark/>
          </w:tcPr>
          <w:p w:rsidR="00FE0200" w:rsidRPr="008E6952" w:rsidRDefault="00FE0200" w:rsidP="003C352E">
            <w:pPr>
              <w:jc w:val="center"/>
              <w:rPr>
                <w:rFonts w:ascii="Times" w:eastAsia="Times New Roman" w:hAnsi="Times" w:cs="Times New Roman"/>
                <w:sz w:val="20"/>
                <w:szCs w:val="20"/>
                <w:lang w:eastAsia="en-US"/>
              </w:rPr>
            </w:pPr>
            <w:r w:rsidRPr="008E6952">
              <w:rPr>
                <w:rFonts w:ascii="Times" w:eastAsia="Times New Roman" w:hAnsi="Times" w:cs="Times New Roman"/>
                <w:sz w:val="20"/>
                <w:szCs w:val="20"/>
                <w:lang w:eastAsia="en-US"/>
              </w:rPr>
              <w:t>Total Intrinsic Clearance  µl/(min-mg microsomal protein)</w:t>
            </w:r>
          </w:p>
        </w:tc>
      </w:tr>
      <w:tr w:rsidR="00FE0200" w:rsidRPr="008E6952" w:rsidTr="003C352E">
        <w:trPr>
          <w:trHeight w:val="240"/>
        </w:trPr>
        <w:tc>
          <w:tcPr>
            <w:tcW w:w="3177" w:type="dxa"/>
            <w:gridSpan w:val="2"/>
            <w:tcBorders>
              <w:top w:val="single" w:sz="6" w:space="0" w:color="auto"/>
            </w:tcBorders>
            <w:shd w:val="clear" w:color="auto" w:fill="auto"/>
            <w:noWrap/>
            <w:vAlign w:val="bottom"/>
          </w:tcPr>
          <w:p w:rsidR="00FE0200" w:rsidRPr="00DA396C" w:rsidRDefault="00FE0200" w:rsidP="003C352E">
            <w:pPr>
              <w:jc w:val="center"/>
              <w:rPr>
                <w:rFonts w:ascii="Times" w:eastAsia="Times New Roman" w:hAnsi="Times" w:cs="Times New Roman"/>
                <w:sz w:val="18"/>
                <w:szCs w:val="18"/>
                <w:lang w:eastAsia="en-US"/>
              </w:rPr>
            </w:pPr>
            <w:r>
              <w:rPr>
                <w:rFonts w:ascii="Times" w:eastAsia="Times New Roman" w:hAnsi="Times" w:cs="Times New Roman"/>
                <w:sz w:val="18"/>
                <w:szCs w:val="18"/>
                <w:lang w:eastAsia="en-US"/>
              </w:rPr>
              <w:t>Age 0-5 Females</w:t>
            </w:r>
          </w:p>
        </w:tc>
        <w:tc>
          <w:tcPr>
            <w:tcW w:w="1980" w:type="dxa"/>
            <w:tcBorders>
              <w:top w:val="single" w:sz="6" w:space="0" w:color="auto"/>
            </w:tcBorders>
            <w:shd w:val="clear" w:color="auto" w:fill="auto"/>
            <w:noWrap/>
            <w:vAlign w:val="bottom"/>
          </w:tcPr>
          <w:p w:rsidR="00FE0200" w:rsidRPr="00DA396C" w:rsidRDefault="00FE0200" w:rsidP="003C352E">
            <w:pPr>
              <w:jc w:val="center"/>
              <w:rPr>
                <w:rFonts w:ascii="Times" w:eastAsia="Times New Roman" w:hAnsi="Times" w:cs="Times New Roman"/>
                <w:sz w:val="18"/>
                <w:szCs w:val="18"/>
                <w:lang w:eastAsia="en-US"/>
              </w:rPr>
            </w:pPr>
          </w:p>
        </w:tc>
        <w:tc>
          <w:tcPr>
            <w:tcW w:w="2160" w:type="dxa"/>
            <w:tcBorders>
              <w:top w:val="single" w:sz="6" w:space="0" w:color="auto"/>
            </w:tcBorders>
            <w:shd w:val="clear" w:color="auto" w:fill="auto"/>
            <w:noWrap/>
            <w:vAlign w:val="bottom"/>
          </w:tcPr>
          <w:p w:rsidR="00FE0200" w:rsidRPr="00DA396C" w:rsidRDefault="00FE0200" w:rsidP="003C352E">
            <w:pPr>
              <w:jc w:val="center"/>
              <w:rPr>
                <w:rFonts w:ascii="Times" w:eastAsia="Times New Roman" w:hAnsi="Times" w:cs="Times New Roman"/>
                <w:sz w:val="18"/>
                <w:szCs w:val="18"/>
                <w:lang w:eastAsia="en-US"/>
              </w:rPr>
            </w:pPr>
          </w:p>
        </w:tc>
        <w:tc>
          <w:tcPr>
            <w:tcW w:w="2234" w:type="dxa"/>
            <w:tcBorders>
              <w:top w:val="single" w:sz="6" w:space="0" w:color="auto"/>
            </w:tcBorders>
            <w:shd w:val="clear" w:color="auto" w:fill="auto"/>
            <w:noWrap/>
            <w:vAlign w:val="bottom"/>
          </w:tcPr>
          <w:p w:rsidR="00FE0200" w:rsidRPr="00DA396C" w:rsidRDefault="00FE0200" w:rsidP="003C352E">
            <w:pPr>
              <w:jc w:val="center"/>
              <w:rPr>
                <w:rFonts w:ascii="Times" w:eastAsia="Times New Roman" w:hAnsi="Times" w:cs="Times New Roman"/>
                <w:sz w:val="18"/>
                <w:szCs w:val="18"/>
                <w:lang w:eastAsia="en-US"/>
              </w:rPr>
            </w:pPr>
          </w:p>
        </w:tc>
      </w:tr>
      <w:tr w:rsidR="00FE0200" w:rsidRPr="008E6952" w:rsidTr="003C352E">
        <w:trPr>
          <w:trHeight w:val="240"/>
        </w:trPr>
        <w:tc>
          <w:tcPr>
            <w:tcW w:w="1275" w:type="dxa"/>
            <w:shd w:val="clear" w:color="auto" w:fill="auto"/>
            <w:noWrap/>
            <w:vAlign w:val="bottom"/>
            <w:hideMark/>
          </w:tcPr>
          <w:p w:rsidR="00FE0200" w:rsidRPr="00DA2BC0" w:rsidRDefault="00FE0200" w:rsidP="003C352E">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354</w:t>
            </w:r>
          </w:p>
        </w:tc>
        <w:tc>
          <w:tcPr>
            <w:tcW w:w="1902" w:type="dxa"/>
            <w:shd w:val="clear" w:color="auto" w:fill="auto"/>
            <w:noWrap/>
            <w:vAlign w:val="bottom"/>
            <w:hideMark/>
          </w:tcPr>
          <w:p w:rsidR="00FE0200" w:rsidRPr="00DA2BC0" w:rsidRDefault="00FE0200" w:rsidP="003C352E">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2.1</w:t>
            </w:r>
          </w:p>
        </w:tc>
        <w:tc>
          <w:tcPr>
            <w:tcW w:w="1980" w:type="dxa"/>
            <w:shd w:val="clear" w:color="auto" w:fill="auto"/>
            <w:noWrap/>
            <w:vAlign w:val="bottom"/>
            <w:hideMark/>
          </w:tcPr>
          <w:p w:rsidR="00FE0200" w:rsidRPr="00DA2BC0" w:rsidRDefault="00FE0200" w:rsidP="003C352E">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1.98</w:t>
            </w:r>
          </w:p>
        </w:tc>
        <w:tc>
          <w:tcPr>
            <w:tcW w:w="2160" w:type="dxa"/>
            <w:shd w:val="clear" w:color="auto" w:fill="auto"/>
            <w:noWrap/>
            <w:vAlign w:val="bottom"/>
            <w:hideMark/>
          </w:tcPr>
          <w:p w:rsidR="00FE0200" w:rsidRPr="00DA2BC0" w:rsidRDefault="00FE0200" w:rsidP="003C352E">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0.485</w:t>
            </w:r>
          </w:p>
        </w:tc>
        <w:tc>
          <w:tcPr>
            <w:tcW w:w="2234" w:type="dxa"/>
            <w:shd w:val="clear" w:color="auto" w:fill="auto"/>
            <w:noWrap/>
            <w:vAlign w:val="bottom"/>
            <w:hideMark/>
          </w:tcPr>
          <w:p w:rsidR="00FE0200" w:rsidRPr="00DA2BC0" w:rsidRDefault="00FE0200" w:rsidP="003C352E">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4.08</w:t>
            </w:r>
          </w:p>
        </w:tc>
      </w:tr>
      <w:tr w:rsidR="00FE0200" w:rsidRPr="008E6952" w:rsidTr="003C352E">
        <w:trPr>
          <w:trHeight w:val="240"/>
        </w:trPr>
        <w:tc>
          <w:tcPr>
            <w:tcW w:w="1275" w:type="dxa"/>
            <w:shd w:val="clear" w:color="auto" w:fill="auto"/>
            <w:noWrap/>
            <w:vAlign w:val="bottom"/>
            <w:hideMark/>
          </w:tcPr>
          <w:p w:rsidR="00FE0200" w:rsidRPr="00DA2BC0" w:rsidRDefault="00FE0200" w:rsidP="003C352E">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57</w:t>
            </w:r>
          </w:p>
        </w:tc>
        <w:tc>
          <w:tcPr>
            <w:tcW w:w="1902" w:type="dxa"/>
            <w:shd w:val="clear" w:color="auto" w:fill="auto"/>
            <w:noWrap/>
            <w:vAlign w:val="bottom"/>
            <w:hideMark/>
          </w:tcPr>
          <w:p w:rsidR="00FE0200" w:rsidRPr="00DA2BC0" w:rsidRDefault="00FE0200" w:rsidP="003C352E">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25.02</w:t>
            </w:r>
          </w:p>
        </w:tc>
        <w:tc>
          <w:tcPr>
            <w:tcW w:w="1980" w:type="dxa"/>
            <w:shd w:val="clear" w:color="auto" w:fill="auto"/>
            <w:noWrap/>
            <w:vAlign w:val="bottom"/>
            <w:hideMark/>
          </w:tcPr>
          <w:p w:rsidR="00FE0200" w:rsidRPr="00DA2BC0" w:rsidRDefault="00FE0200" w:rsidP="003C352E">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25.8</w:t>
            </w:r>
          </w:p>
        </w:tc>
        <w:tc>
          <w:tcPr>
            <w:tcW w:w="2160" w:type="dxa"/>
            <w:shd w:val="clear" w:color="auto" w:fill="auto"/>
            <w:noWrap/>
            <w:vAlign w:val="bottom"/>
            <w:hideMark/>
          </w:tcPr>
          <w:p w:rsidR="00FE0200" w:rsidRPr="00DA2BC0" w:rsidRDefault="00FE0200" w:rsidP="003C352E">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0.508</w:t>
            </w:r>
          </w:p>
        </w:tc>
        <w:tc>
          <w:tcPr>
            <w:tcW w:w="2234" w:type="dxa"/>
            <w:shd w:val="clear" w:color="auto" w:fill="auto"/>
            <w:noWrap/>
            <w:vAlign w:val="bottom"/>
            <w:hideMark/>
          </w:tcPr>
          <w:p w:rsidR="00FE0200" w:rsidRPr="00DA2BC0" w:rsidRDefault="00FE0200" w:rsidP="003C352E">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50.82</w:t>
            </w:r>
          </w:p>
        </w:tc>
      </w:tr>
      <w:tr w:rsidR="00FE0200" w:rsidRPr="008E6952" w:rsidTr="003C352E">
        <w:trPr>
          <w:trHeight w:val="240"/>
        </w:trPr>
        <w:tc>
          <w:tcPr>
            <w:tcW w:w="1275" w:type="dxa"/>
            <w:shd w:val="clear" w:color="auto" w:fill="auto"/>
            <w:noWrap/>
            <w:vAlign w:val="bottom"/>
            <w:hideMark/>
          </w:tcPr>
          <w:p w:rsidR="00FE0200" w:rsidRPr="00DA2BC0" w:rsidRDefault="00FE0200" w:rsidP="003C352E">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776</w:t>
            </w:r>
          </w:p>
        </w:tc>
        <w:tc>
          <w:tcPr>
            <w:tcW w:w="1902" w:type="dxa"/>
            <w:shd w:val="clear" w:color="auto" w:fill="auto"/>
            <w:noWrap/>
            <w:vAlign w:val="bottom"/>
            <w:hideMark/>
          </w:tcPr>
          <w:p w:rsidR="00FE0200" w:rsidRPr="00DA2BC0" w:rsidRDefault="00FE0200" w:rsidP="003C352E">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19.63</w:t>
            </w:r>
          </w:p>
        </w:tc>
        <w:tc>
          <w:tcPr>
            <w:tcW w:w="1980" w:type="dxa"/>
            <w:shd w:val="clear" w:color="auto" w:fill="auto"/>
            <w:noWrap/>
            <w:vAlign w:val="bottom"/>
            <w:hideMark/>
          </w:tcPr>
          <w:p w:rsidR="00FE0200" w:rsidRPr="00DA2BC0" w:rsidRDefault="00FE0200" w:rsidP="003C352E">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6.03</w:t>
            </w:r>
          </w:p>
        </w:tc>
        <w:tc>
          <w:tcPr>
            <w:tcW w:w="2160" w:type="dxa"/>
            <w:shd w:val="clear" w:color="auto" w:fill="auto"/>
            <w:noWrap/>
            <w:vAlign w:val="bottom"/>
            <w:hideMark/>
          </w:tcPr>
          <w:p w:rsidR="00FE0200" w:rsidRPr="00DA2BC0" w:rsidRDefault="00FE0200" w:rsidP="003C352E">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0.235</w:t>
            </w:r>
          </w:p>
        </w:tc>
        <w:tc>
          <w:tcPr>
            <w:tcW w:w="2234" w:type="dxa"/>
            <w:shd w:val="clear" w:color="auto" w:fill="auto"/>
            <w:noWrap/>
            <w:vAlign w:val="bottom"/>
            <w:hideMark/>
          </w:tcPr>
          <w:p w:rsidR="00FE0200" w:rsidRPr="00DA2BC0" w:rsidRDefault="00FE0200" w:rsidP="003C352E">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25.66</w:t>
            </w:r>
          </w:p>
        </w:tc>
      </w:tr>
      <w:tr w:rsidR="00FE0200" w:rsidRPr="008E6952" w:rsidTr="003C352E">
        <w:trPr>
          <w:trHeight w:val="240"/>
        </w:trPr>
        <w:tc>
          <w:tcPr>
            <w:tcW w:w="1275" w:type="dxa"/>
            <w:shd w:val="clear" w:color="auto" w:fill="auto"/>
            <w:noWrap/>
            <w:vAlign w:val="bottom"/>
            <w:hideMark/>
          </w:tcPr>
          <w:p w:rsidR="00FE0200" w:rsidRPr="00DA2BC0" w:rsidRDefault="00FE0200" w:rsidP="003C352E">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689</w:t>
            </w:r>
          </w:p>
        </w:tc>
        <w:tc>
          <w:tcPr>
            <w:tcW w:w="1902" w:type="dxa"/>
            <w:shd w:val="clear" w:color="auto" w:fill="auto"/>
            <w:noWrap/>
            <w:vAlign w:val="bottom"/>
            <w:hideMark/>
          </w:tcPr>
          <w:p w:rsidR="00FE0200" w:rsidRPr="00DA2BC0" w:rsidRDefault="00FE0200" w:rsidP="003C352E">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6.2</w:t>
            </w:r>
          </w:p>
        </w:tc>
        <w:tc>
          <w:tcPr>
            <w:tcW w:w="1980" w:type="dxa"/>
            <w:shd w:val="clear" w:color="auto" w:fill="auto"/>
            <w:noWrap/>
            <w:vAlign w:val="bottom"/>
            <w:hideMark/>
          </w:tcPr>
          <w:p w:rsidR="00FE0200" w:rsidRPr="00DA2BC0" w:rsidRDefault="00FE0200" w:rsidP="003C352E">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3.79</w:t>
            </w:r>
          </w:p>
        </w:tc>
        <w:tc>
          <w:tcPr>
            <w:tcW w:w="2160" w:type="dxa"/>
            <w:shd w:val="clear" w:color="auto" w:fill="auto"/>
            <w:noWrap/>
            <w:vAlign w:val="bottom"/>
            <w:hideMark/>
          </w:tcPr>
          <w:p w:rsidR="00FE0200" w:rsidRPr="00DA2BC0" w:rsidRDefault="00FE0200" w:rsidP="003C352E">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0.379</w:t>
            </w:r>
          </w:p>
        </w:tc>
        <w:tc>
          <w:tcPr>
            <w:tcW w:w="2234" w:type="dxa"/>
            <w:shd w:val="clear" w:color="auto" w:fill="auto"/>
            <w:noWrap/>
            <w:vAlign w:val="bottom"/>
            <w:hideMark/>
          </w:tcPr>
          <w:p w:rsidR="00FE0200" w:rsidRPr="00DA2BC0" w:rsidRDefault="00FE0200" w:rsidP="003C352E">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9.99</w:t>
            </w:r>
          </w:p>
        </w:tc>
      </w:tr>
      <w:tr w:rsidR="00FE0200" w:rsidRPr="008E6952" w:rsidTr="003C352E">
        <w:trPr>
          <w:trHeight w:val="240"/>
        </w:trPr>
        <w:tc>
          <w:tcPr>
            <w:tcW w:w="1275" w:type="dxa"/>
            <w:shd w:val="clear" w:color="auto" w:fill="auto"/>
            <w:noWrap/>
            <w:vAlign w:val="bottom"/>
          </w:tcPr>
          <w:p w:rsidR="00FE0200" w:rsidRPr="00DA396C" w:rsidRDefault="00FE0200" w:rsidP="003C352E">
            <w:pPr>
              <w:jc w:val="center"/>
              <w:rPr>
                <w:rFonts w:ascii="Times" w:eastAsia="Times New Roman" w:hAnsi="Times" w:cs="Times New Roman"/>
                <w:sz w:val="18"/>
                <w:szCs w:val="18"/>
                <w:lang w:eastAsia="en-US"/>
              </w:rPr>
            </w:pPr>
            <w:proofErr w:type="spellStart"/>
            <w:r>
              <w:rPr>
                <w:rFonts w:ascii="Times" w:eastAsia="Times New Roman" w:hAnsi="Times" w:cs="Times New Roman"/>
                <w:sz w:val="18"/>
                <w:szCs w:val="18"/>
                <w:lang w:eastAsia="en-US"/>
              </w:rPr>
              <w:t>Gmean</w:t>
            </w:r>
            <w:proofErr w:type="spellEnd"/>
          </w:p>
        </w:tc>
        <w:tc>
          <w:tcPr>
            <w:tcW w:w="1902" w:type="dxa"/>
            <w:shd w:val="clear" w:color="auto" w:fill="auto"/>
            <w:noWrap/>
            <w:vAlign w:val="bottom"/>
          </w:tcPr>
          <w:p w:rsidR="00FE0200" w:rsidRPr="00DA2BC0" w:rsidRDefault="00FE0200" w:rsidP="003C352E">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8.94</w:t>
            </w:r>
          </w:p>
        </w:tc>
        <w:tc>
          <w:tcPr>
            <w:tcW w:w="1980" w:type="dxa"/>
            <w:shd w:val="clear" w:color="auto" w:fill="auto"/>
            <w:noWrap/>
            <w:vAlign w:val="bottom"/>
          </w:tcPr>
          <w:p w:rsidR="00FE0200" w:rsidRPr="00DA2BC0" w:rsidRDefault="00FE0200" w:rsidP="003C352E">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5.85</w:t>
            </w:r>
          </w:p>
        </w:tc>
        <w:tc>
          <w:tcPr>
            <w:tcW w:w="2160" w:type="dxa"/>
            <w:shd w:val="clear" w:color="auto" w:fill="auto"/>
            <w:noWrap/>
            <w:vAlign w:val="bottom"/>
          </w:tcPr>
          <w:p w:rsidR="00FE0200" w:rsidRPr="00DA2BC0" w:rsidRDefault="00FE0200" w:rsidP="003C352E">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0.385</w:t>
            </w:r>
          </w:p>
        </w:tc>
        <w:tc>
          <w:tcPr>
            <w:tcW w:w="2234" w:type="dxa"/>
            <w:shd w:val="clear" w:color="auto" w:fill="auto"/>
            <w:noWrap/>
            <w:vAlign w:val="bottom"/>
          </w:tcPr>
          <w:p w:rsidR="00FE0200" w:rsidRPr="00DA2BC0" w:rsidRDefault="00FE0200" w:rsidP="003C352E">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15.18</w:t>
            </w:r>
          </w:p>
        </w:tc>
      </w:tr>
      <w:tr w:rsidR="00FE0200" w:rsidRPr="008E6952" w:rsidTr="003C352E">
        <w:trPr>
          <w:trHeight w:val="240"/>
        </w:trPr>
        <w:tc>
          <w:tcPr>
            <w:tcW w:w="3177" w:type="dxa"/>
            <w:gridSpan w:val="2"/>
            <w:shd w:val="clear" w:color="auto" w:fill="auto"/>
            <w:noWrap/>
            <w:vAlign w:val="bottom"/>
          </w:tcPr>
          <w:p w:rsidR="00FE0200" w:rsidRPr="00DA396C" w:rsidRDefault="00FE0200" w:rsidP="003C352E">
            <w:pPr>
              <w:jc w:val="center"/>
              <w:rPr>
                <w:rFonts w:ascii="Times" w:eastAsia="Times New Roman" w:hAnsi="Times" w:cs="Times New Roman"/>
                <w:sz w:val="18"/>
                <w:szCs w:val="18"/>
                <w:lang w:eastAsia="en-US"/>
              </w:rPr>
            </w:pPr>
            <w:r>
              <w:rPr>
                <w:rFonts w:ascii="Times" w:eastAsia="Times New Roman" w:hAnsi="Times" w:cs="Times New Roman"/>
                <w:sz w:val="18"/>
                <w:szCs w:val="18"/>
                <w:lang w:eastAsia="en-US"/>
              </w:rPr>
              <w:t>Age 25-48 Females</w:t>
            </w:r>
          </w:p>
        </w:tc>
        <w:tc>
          <w:tcPr>
            <w:tcW w:w="1980" w:type="dxa"/>
            <w:shd w:val="clear" w:color="auto" w:fill="auto"/>
            <w:noWrap/>
            <w:vAlign w:val="bottom"/>
          </w:tcPr>
          <w:p w:rsidR="00FE0200" w:rsidRPr="00DA396C" w:rsidRDefault="00FE0200" w:rsidP="003C352E">
            <w:pPr>
              <w:jc w:val="center"/>
              <w:rPr>
                <w:rFonts w:ascii="Times" w:eastAsia="Times New Roman" w:hAnsi="Times" w:cs="Times New Roman"/>
                <w:sz w:val="18"/>
                <w:szCs w:val="18"/>
                <w:lang w:eastAsia="en-US"/>
              </w:rPr>
            </w:pPr>
          </w:p>
        </w:tc>
        <w:tc>
          <w:tcPr>
            <w:tcW w:w="2160" w:type="dxa"/>
            <w:shd w:val="clear" w:color="auto" w:fill="auto"/>
            <w:noWrap/>
            <w:vAlign w:val="bottom"/>
          </w:tcPr>
          <w:p w:rsidR="00FE0200" w:rsidRPr="00DA396C" w:rsidRDefault="00FE0200" w:rsidP="003C352E">
            <w:pPr>
              <w:jc w:val="center"/>
              <w:rPr>
                <w:rFonts w:ascii="Times" w:eastAsia="Times New Roman" w:hAnsi="Times" w:cs="Times New Roman"/>
                <w:sz w:val="18"/>
                <w:szCs w:val="18"/>
                <w:lang w:eastAsia="en-US"/>
              </w:rPr>
            </w:pPr>
          </w:p>
        </w:tc>
        <w:tc>
          <w:tcPr>
            <w:tcW w:w="2234" w:type="dxa"/>
            <w:shd w:val="clear" w:color="auto" w:fill="auto"/>
            <w:noWrap/>
            <w:vAlign w:val="bottom"/>
          </w:tcPr>
          <w:p w:rsidR="00FE0200" w:rsidRPr="00DA396C" w:rsidRDefault="00FE0200" w:rsidP="003C352E">
            <w:pPr>
              <w:jc w:val="center"/>
              <w:rPr>
                <w:rFonts w:ascii="Times" w:eastAsia="Times New Roman" w:hAnsi="Times" w:cs="Times New Roman"/>
                <w:sz w:val="18"/>
                <w:szCs w:val="18"/>
                <w:lang w:eastAsia="en-US"/>
              </w:rPr>
            </w:pPr>
          </w:p>
        </w:tc>
      </w:tr>
      <w:tr w:rsidR="00FE0200" w:rsidRPr="008E6952" w:rsidTr="003C352E">
        <w:trPr>
          <w:trHeight w:val="240"/>
        </w:trPr>
        <w:tc>
          <w:tcPr>
            <w:tcW w:w="1275" w:type="dxa"/>
            <w:shd w:val="clear" w:color="auto" w:fill="auto"/>
            <w:noWrap/>
            <w:vAlign w:val="bottom"/>
            <w:hideMark/>
          </w:tcPr>
          <w:p w:rsidR="00FE0200" w:rsidRPr="00CC2448" w:rsidRDefault="00FE0200" w:rsidP="003C352E">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459</w:t>
            </w:r>
          </w:p>
        </w:tc>
        <w:tc>
          <w:tcPr>
            <w:tcW w:w="1902" w:type="dxa"/>
            <w:shd w:val="clear" w:color="auto" w:fill="auto"/>
            <w:noWrap/>
            <w:vAlign w:val="bottom"/>
            <w:hideMark/>
          </w:tcPr>
          <w:p w:rsidR="00FE0200" w:rsidRPr="00CC2448" w:rsidRDefault="00FE0200" w:rsidP="003C352E">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6.61</w:t>
            </w:r>
          </w:p>
        </w:tc>
        <w:tc>
          <w:tcPr>
            <w:tcW w:w="1980" w:type="dxa"/>
            <w:shd w:val="clear" w:color="auto" w:fill="auto"/>
            <w:noWrap/>
            <w:vAlign w:val="bottom"/>
            <w:hideMark/>
          </w:tcPr>
          <w:p w:rsidR="00FE0200" w:rsidRPr="00CC2448" w:rsidRDefault="00FE0200" w:rsidP="003C352E">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1.5</w:t>
            </w:r>
          </w:p>
        </w:tc>
        <w:tc>
          <w:tcPr>
            <w:tcW w:w="2160" w:type="dxa"/>
            <w:shd w:val="clear" w:color="auto" w:fill="auto"/>
            <w:noWrap/>
            <w:vAlign w:val="bottom"/>
            <w:hideMark/>
          </w:tcPr>
          <w:p w:rsidR="00FE0200" w:rsidRPr="00CC2448" w:rsidRDefault="00FE0200" w:rsidP="003C352E">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0.185</w:t>
            </w:r>
          </w:p>
        </w:tc>
        <w:tc>
          <w:tcPr>
            <w:tcW w:w="2234" w:type="dxa"/>
            <w:shd w:val="clear" w:color="auto" w:fill="auto"/>
            <w:noWrap/>
            <w:vAlign w:val="bottom"/>
            <w:hideMark/>
          </w:tcPr>
          <w:p w:rsidR="00FE0200" w:rsidRPr="00CC2448" w:rsidRDefault="00FE0200" w:rsidP="003C352E">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8.11</w:t>
            </w:r>
          </w:p>
        </w:tc>
      </w:tr>
      <w:tr w:rsidR="00FE0200" w:rsidRPr="008E6952" w:rsidTr="003C352E">
        <w:trPr>
          <w:trHeight w:val="240"/>
        </w:trPr>
        <w:tc>
          <w:tcPr>
            <w:tcW w:w="1275" w:type="dxa"/>
            <w:shd w:val="clear" w:color="auto" w:fill="auto"/>
            <w:noWrap/>
            <w:vAlign w:val="bottom"/>
            <w:hideMark/>
          </w:tcPr>
          <w:p w:rsidR="00FE0200" w:rsidRPr="00CC2448" w:rsidRDefault="00FE0200" w:rsidP="003C352E">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25</w:t>
            </w:r>
          </w:p>
        </w:tc>
        <w:tc>
          <w:tcPr>
            <w:tcW w:w="1902" w:type="dxa"/>
            <w:shd w:val="clear" w:color="auto" w:fill="auto"/>
            <w:noWrap/>
            <w:vAlign w:val="bottom"/>
            <w:hideMark/>
          </w:tcPr>
          <w:p w:rsidR="00FE0200" w:rsidRPr="00CC2448" w:rsidRDefault="00FE0200" w:rsidP="003C352E">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7</w:t>
            </w:r>
          </w:p>
        </w:tc>
        <w:tc>
          <w:tcPr>
            <w:tcW w:w="1980" w:type="dxa"/>
            <w:shd w:val="clear" w:color="auto" w:fill="auto"/>
            <w:noWrap/>
            <w:vAlign w:val="bottom"/>
            <w:hideMark/>
          </w:tcPr>
          <w:p w:rsidR="00FE0200" w:rsidRPr="00CC2448" w:rsidRDefault="00FE0200" w:rsidP="003C352E">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4.15</w:t>
            </w:r>
          </w:p>
        </w:tc>
        <w:tc>
          <w:tcPr>
            <w:tcW w:w="2160" w:type="dxa"/>
            <w:shd w:val="clear" w:color="auto" w:fill="auto"/>
            <w:noWrap/>
            <w:vAlign w:val="bottom"/>
            <w:hideMark/>
          </w:tcPr>
          <w:p w:rsidR="00FE0200" w:rsidRPr="00CC2448" w:rsidRDefault="00FE0200" w:rsidP="003C352E">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0.372</w:t>
            </w:r>
          </w:p>
        </w:tc>
        <w:tc>
          <w:tcPr>
            <w:tcW w:w="2234" w:type="dxa"/>
            <w:shd w:val="clear" w:color="auto" w:fill="auto"/>
            <w:noWrap/>
            <w:vAlign w:val="bottom"/>
            <w:hideMark/>
          </w:tcPr>
          <w:p w:rsidR="00FE0200" w:rsidRPr="00CC2448" w:rsidRDefault="00FE0200" w:rsidP="003C352E">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11.15</w:t>
            </w:r>
          </w:p>
        </w:tc>
      </w:tr>
      <w:tr w:rsidR="00FE0200" w:rsidRPr="008E6952" w:rsidTr="003C352E">
        <w:trPr>
          <w:trHeight w:val="240"/>
        </w:trPr>
        <w:tc>
          <w:tcPr>
            <w:tcW w:w="1275" w:type="dxa"/>
            <w:shd w:val="clear" w:color="auto" w:fill="auto"/>
            <w:noWrap/>
            <w:vAlign w:val="bottom"/>
            <w:hideMark/>
          </w:tcPr>
          <w:p w:rsidR="00FE0200" w:rsidRPr="00CC2448" w:rsidRDefault="00FE0200" w:rsidP="003C352E">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434</w:t>
            </w:r>
          </w:p>
        </w:tc>
        <w:tc>
          <w:tcPr>
            <w:tcW w:w="1902" w:type="dxa"/>
            <w:shd w:val="clear" w:color="auto" w:fill="auto"/>
            <w:noWrap/>
            <w:vAlign w:val="bottom"/>
            <w:hideMark/>
          </w:tcPr>
          <w:p w:rsidR="00FE0200" w:rsidRPr="00CC2448" w:rsidRDefault="00FE0200" w:rsidP="003C352E">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2.92</w:t>
            </w:r>
          </w:p>
        </w:tc>
        <w:tc>
          <w:tcPr>
            <w:tcW w:w="1980" w:type="dxa"/>
            <w:shd w:val="clear" w:color="auto" w:fill="auto"/>
            <w:noWrap/>
            <w:vAlign w:val="bottom"/>
            <w:hideMark/>
          </w:tcPr>
          <w:p w:rsidR="00FE0200" w:rsidRPr="00CC2448" w:rsidRDefault="00FE0200" w:rsidP="003C352E">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0.68</w:t>
            </w:r>
          </w:p>
        </w:tc>
        <w:tc>
          <w:tcPr>
            <w:tcW w:w="2160" w:type="dxa"/>
            <w:shd w:val="clear" w:color="auto" w:fill="auto"/>
            <w:noWrap/>
            <w:vAlign w:val="bottom"/>
            <w:hideMark/>
          </w:tcPr>
          <w:p w:rsidR="00FE0200" w:rsidRPr="00CC2448" w:rsidRDefault="00FE0200" w:rsidP="003C352E">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0.189</w:t>
            </w:r>
          </w:p>
        </w:tc>
        <w:tc>
          <w:tcPr>
            <w:tcW w:w="2234" w:type="dxa"/>
            <w:shd w:val="clear" w:color="auto" w:fill="auto"/>
            <w:noWrap/>
            <w:vAlign w:val="bottom"/>
            <w:hideMark/>
          </w:tcPr>
          <w:p w:rsidR="00FE0200" w:rsidRPr="00CC2448" w:rsidRDefault="00FE0200" w:rsidP="003C352E">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3.60</w:t>
            </w:r>
          </w:p>
        </w:tc>
      </w:tr>
      <w:tr w:rsidR="00FE0200" w:rsidRPr="008E6952" w:rsidTr="003C352E">
        <w:trPr>
          <w:trHeight w:val="240"/>
        </w:trPr>
        <w:tc>
          <w:tcPr>
            <w:tcW w:w="1275" w:type="dxa"/>
            <w:shd w:val="clear" w:color="auto" w:fill="auto"/>
            <w:noWrap/>
            <w:vAlign w:val="bottom"/>
            <w:hideMark/>
          </w:tcPr>
          <w:p w:rsidR="00FE0200" w:rsidRPr="00CC2448" w:rsidRDefault="00FE0200" w:rsidP="003C352E">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251</w:t>
            </w:r>
          </w:p>
        </w:tc>
        <w:tc>
          <w:tcPr>
            <w:tcW w:w="1902" w:type="dxa"/>
            <w:shd w:val="clear" w:color="auto" w:fill="auto"/>
            <w:noWrap/>
            <w:vAlign w:val="bottom"/>
            <w:hideMark/>
          </w:tcPr>
          <w:p w:rsidR="00FE0200" w:rsidRPr="00CC2448" w:rsidRDefault="00FE0200" w:rsidP="003C352E">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18.25</w:t>
            </w:r>
          </w:p>
        </w:tc>
        <w:tc>
          <w:tcPr>
            <w:tcW w:w="1980" w:type="dxa"/>
            <w:shd w:val="clear" w:color="auto" w:fill="auto"/>
            <w:noWrap/>
            <w:vAlign w:val="bottom"/>
            <w:hideMark/>
          </w:tcPr>
          <w:p w:rsidR="00FE0200" w:rsidRPr="00CC2448" w:rsidRDefault="00FE0200" w:rsidP="003C352E">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3.48</w:t>
            </w:r>
          </w:p>
        </w:tc>
        <w:tc>
          <w:tcPr>
            <w:tcW w:w="2160" w:type="dxa"/>
            <w:shd w:val="clear" w:color="auto" w:fill="auto"/>
            <w:noWrap/>
            <w:vAlign w:val="bottom"/>
            <w:hideMark/>
          </w:tcPr>
          <w:p w:rsidR="00FE0200" w:rsidRPr="00CC2448" w:rsidRDefault="00FE0200" w:rsidP="003C352E">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0.160</w:t>
            </w:r>
          </w:p>
        </w:tc>
        <w:tc>
          <w:tcPr>
            <w:tcW w:w="2234" w:type="dxa"/>
            <w:shd w:val="clear" w:color="auto" w:fill="auto"/>
            <w:noWrap/>
            <w:vAlign w:val="bottom"/>
            <w:hideMark/>
          </w:tcPr>
          <w:p w:rsidR="00FE0200" w:rsidRPr="00CC2448" w:rsidRDefault="00FE0200" w:rsidP="003C352E">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21.73</w:t>
            </w:r>
          </w:p>
        </w:tc>
      </w:tr>
      <w:tr w:rsidR="00FE0200" w:rsidRPr="008E6952" w:rsidTr="003C352E">
        <w:trPr>
          <w:trHeight w:val="240"/>
        </w:trPr>
        <w:tc>
          <w:tcPr>
            <w:tcW w:w="1275" w:type="dxa"/>
            <w:shd w:val="clear" w:color="auto" w:fill="auto"/>
            <w:noWrap/>
            <w:vAlign w:val="bottom"/>
            <w:hideMark/>
          </w:tcPr>
          <w:p w:rsidR="00FE0200" w:rsidRPr="00CC2448" w:rsidRDefault="00FE0200" w:rsidP="003C352E">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115</w:t>
            </w:r>
          </w:p>
        </w:tc>
        <w:tc>
          <w:tcPr>
            <w:tcW w:w="1902" w:type="dxa"/>
            <w:shd w:val="clear" w:color="auto" w:fill="auto"/>
            <w:noWrap/>
            <w:vAlign w:val="bottom"/>
            <w:hideMark/>
          </w:tcPr>
          <w:p w:rsidR="00FE0200" w:rsidRPr="00CC2448" w:rsidRDefault="00FE0200" w:rsidP="003C352E">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4.56</w:t>
            </w:r>
          </w:p>
        </w:tc>
        <w:tc>
          <w:tcPr>
            <w:tcW w:w="1980" w:type="dxa"/>
            <w:shd w:val="clear" w:color="auto" w:fill="auto"/>
            <w:noWrap/>
            <w:vAlign w:val="bottom"/>
            <w:hideMark/>
          </w:tcPr>
          <w:p w:rsidR="00FE0200" w:rsidRPr="00CC2448" w:rsidRDefault="00FE0200" w:rsidP="003C352E">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1.51</w:t>
            </w:r>
          </w:p>
        </w:tc>
        <w:tc>
          <w:tcPr>
            <w:tcW w:w="2160" w:type="dxa"/>
            <w:shd w:val="clear" w:color="auto" w:fill="auto"/>
            <w:noWrap/>
            <w:vAlign w:val="bottom"/>
            <w:hideMark/>
          </w:tcPr>
          <w:p w:rsidR="00FE0200" w:rsidRPr="00CC2448" w:rsidRDefault="00FE0200" w:rsidP="003C352E">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0.249</w:t>
            </w:r>
          </w:p>
        </w:tc>
        <w:tc>
          <w:tcPr>
            <w:tcW w:w="2234" w:type="dxa"/>
            <w:shd w:val="clear" w:color="auto" w:fill="auto"/>
            <w:noWrap/>
            <w:vAlign w:val="bottom"/>
            <w:hideMark/>
          </w:tcPr>
          <w:p w:rsidR="00FE0200" w:rsidRPr="00CC2448" w:rsidRDefault="00FE0200" w:rsidP="003C352E">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6.07</w:t>
            </w:r>
          </w:p>
        </w:tc>
      </w:tr>
      <w:tr w:rsidR="00FE0200" w:rsidRPr="008E6952" w:rsidTr="003C352E">
        <w:trPr>
          <w:trHeight w:val="240"/>
        </w:trPr>
        <w:tc>
          <w:tcPr>
            <w:tcW w:w="1275" w:type="dxa"/>
            <w:shd w:val="clear" w:color="auto" w:fill="auto"/>
            <w:noWrap/>
            <w:vAlign w:val="bottom"/>
          </w:tcPr>
          <w:p w:rsidR="00FE0200" w:rsidRPr="00DA396C" w:rsidRDefault="00FE0200" w:rsidP="003C352E">
            <w:pPr>
              <w:jc w:val="center"/>
              <w:rPr>
                <w:rFonts w:ascii="Times" w:eastAsia="Times New Roman" w:hAnsi="Times" w:cs="Times New Roman"/>
                <w:sz w:val="18"/>
                <w:szCs w:val="18"/>
                <w:lang w:eastAsia="en-US"/>
              </w:rPr>
            </w:pPr>
            <w:proofErr w:type="spellStart"/>
            <w:r>
              <w:rPr>
                <w:rFonts w:ascii="Times" w:eastAsia="Times New Roman" w:hAnsi="Times" w:cs="Times New Roman"/>
                <w:sz w:val="18"/>
                <w:szCs w:val="18"/>
                <w:lang w:eastAsia="en-US"/>
              </w:rPr>
              <w:t>Gmean</w:t>
            </w:r>
            <w:proofErr w:type="spellEnd"/>
          </w:p>
        </w:tc>
        <w:tc>
          <w:tcPr>
            <w:tcW w:w="1902" w:type="dxa"/>
            <w:shd w:val="clear" w:color="auto" w:fill="auto"/>
            <w:noWrap/>
            <w:vAlign w:val="bottom"/>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6.46</w:t>
            </w:r>
          </w:p>
        </w:tc>
        <w:tc>
          <w:tcPr>
            <w:tcW w:w="1980" w:type="dxa"/>
            <w:shd w:val="clear" w:color="auto" w:fill="auto"/>
            <w:noWrap/>
            <w:vAlign w:val="bottom"/>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1.86</w:t>
            </w:r>
          </w:p>
        </w:tc>
        <w:tc>
          <w:tcPr>
            <w:tcW w:w="2160" w:type="dxa"/>
            <w:shd w:val="clear" w:color="auto" w:fill="auto"/>
            <w:noWrap/>
            <w:vAlign w:val="bottom"/>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0.220</w:t>
            </w:r>
          </w:p>
        </w:tc>
        <w:tc>
          <w:tcPr>
            <w:tcW w:w="2234" w:type="dxa"/>
            <w:shd w:val="clear" w:color="auto" w:fill="auto"/>
            <w:noWrap/>
            <w:vAlign w:val="bottom"/>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8.44</w:t>
            </w:r>
          </w:p>
        </w:tc>
      </w:tr>
      <w:tr w:rsidR="00FE0200" w:rsidRPr="008E6952" w:rsidTr="003C352E">
        <w:trPr>
          <w:trHeight w:val="240"/>
        </w:trPr>
        <w:tc>
          <w:tcPr>
            <w:tcW w:w="3177" w:type="dxa"/>
            <w:gridSpan w:val="2"/>
            <w:shd w:val="clear" w:color="auto" w:fill="auto"/>
            <w:noWrap/>
            <w:vAlign w:val="bottom"/>
          </w:tcPr>
          <w:p w:rsidR="00FE0200" w:rsidRDefault="00FE0200" w:rsidP="003C352E">
            <w:pPr>
              <w:jc w:val="center"/>
              <w:rPr>
                <w:rFonts w:ascii="Times" w:eastAsia="Times New Roman" w:hAnsi="Times" w:cs="Times New Roman"/>
                <w:sz w:val="18"/>
                <w:szCs w:val="18"/>
                <w:lang w:eastAsia="en-US"/>
              </w:rPr>
            </w:pPr>
          </w:p>
        </w:tc>
        <w:tc>
          <w:tcPr>
            <w:tcW w:w="1980" w:type="dxa"/>
            <w:shd w:val="clear" w:color="auto" w:fill="auto"/>
            <w:noWrap/>
            <w:vAlign w:val="bottom"/>
          </w:tcPr>
          <w:p w:rsidR="00FE0200" w:rsidRPr="00DA396C" w:rsidRDefault="00FE0200" w:rsidP="003C352E">
            <w:pPr>
              <w:jc w:val="center"/>
              <w:rPr>
                <w:rFonts w:ascii="Times" w:eastAsia="Times New Roman" w:hAnsi="Times" w:cs="Times New Roman"/>
                <w:sz w:val="18"/>
                <w:szCs w:val="18"/>
                <w:lang w:eastAsia="en-US"/>
              </w:rPr>
            </w:pPr>
          </w:p>
        </w:tc>
        <w:tc>
          <w:tcPr>
            <w:tcW w:w="2160" w:type="dxa"/>
            <w:shd w:val="clear" w:color="auto" w:fill="auto"/>
            <w:noWrap/>
            <w:vAlign w:val="bottom"/>
          </w:tcPr>
          <w:p w:rsidR="00FE0200" w:rsidRPr="00DA396C" w:rsidRDefault="00FE0200" w:rsidP="003C352E">
            <w:pPr>
              <w:jc w:val="center"/>
              <w:rPr>
                <w:rFonts w:ascii="Times" w:eastAsia="Times New Roman" w:hAnsi="Times" w:cs="Times New Roman"/>
                <w:sz w:val="18"/>
                <w:szCs w:val="18"/>
                <w:lang w:eastAsia="en-US"/>
              </w:rPr>
            </w:pPr>
            <w:r>
              <w:rPr>
                <w:rFonts w:ascii="Times" w:eastAsia="Times New Roman" w:hAnsi="Times" w:cs="Times New Roman"/>
                <w:sz w:val="18"/>
                <w:szCs w:val="18"/>
                <w:lang w:eastAsia="en-US"/>
              </w:rPr>
              <w:t xml:space="preserve">Approx lognormal 5%-95% confidence range for </w:t>
            </w:r>
            <w:proofErr w:type="spellStart"/>
            <w:r>
              <w:rPr>
                <w:rFonts w:ascii="Times" w:eastAsia="Times New Roman" w:hAnsi="Times" w:cs="Times New Roman"/>
                <w:sz w:val="18"/>
                <w:szCs w:val="18"/>
                <w:lang w:eastAsia="en-US"/>
              </w:rPr>
              <w:t>Gmean</w:t>
            </w:r>
            <w:proofErr w:type="spellEnd"/>
          </w:p>
        </w:tc>
        <w:tc>
          <w:tcPr>
            <w:tcW w:w="2234" w:type="dxa"/>
            <w:shd w:val="clear" w:color="auto" w:fill="auto"/>
            <w:noWrap/>
            <w:vAlign w:val="bottom"/>
          </w:tcPr>
          <w:p w:rsidR="00FE0200" w:rsidRPr="00DA396C" w:rsidRDefault="00FE0200" w:rsidP="003C352E">
            <w:pPr>
              <w:jc w:val="center"/>
              <w:rPr>
                <w:rFonts w:ascii="Times" w:eastAsia="Times New Roman" w:hAnsi="Times" w:cs="Times New Roman"/>
                <w:sz w:val="18"/>
                <w:szCs w:val="18"/>
                <w:lang w:eastAsia="en-US"/>
              </w:rPr>
            </w:pPr>
            <w:r>
              <w:rPr>
                <w:rFonts w:ascii="Times" w:eastAsia="Times New Roman" w:hAnsi="Times" w:cs="Times New Roman"/>
                <w:sz w:val="18"/>
                <w:szCs w:val="18"/>
                <w:lang w:eastAsia="en-US"/>
              </w:rPr>
              <w:t>5.15-13.85</w:t>
            </w:r>
          </w:p>
        </w:tc>
      </w:tr>
      <w:tr w:rsidR="00FE0200" w:rsidRPr="008E6952" w:rsidTr="003C352E">
        <w:trPr>
          <w:trHeight w:val="240"/>
        </w:trPr>
        <w:tc>
          <w:tcPr>
            <w:tcW w:w="3177" w:type="dxa"/>
            <w:gridSpan w:val="2"/>
            <w:shd w:val="clear" w:color="auto" w:fill="auto"/>
            <w:noWrap/>
            <w:vAlign w:val="bottom"/>
          </w:tcPr>
          <w:p w:rsidR="00FE0200" w:rsidRPr="00DA396C" w:rsidRDefault="00FE0200" w:rsidP="003C352E">
            <w:pPr>
              <w:jc w:val="center"/>
              <w:rPr>
                <w:rFonts w:ascii="Times" w:eastAsia="Times New Roman" w:hAnsi="Times" w:cs="Times New Roman"/>
                <w:sz w:val="18"/>
                <w:szCs w:val="18"/>
                <w:lang w:eastAsia="en-US"/>
              </w:rPr>
            </w:pPr>
            <w:r>
              <w:rPr>
                <w:rFonts w:ascii="Times" w:eastAsia="Times New Roman" w:hAnsi="Times" w:cs="Times New Roman"/>
                <w:sz w:val="18"/>
                <w:szCs w:val="18"/>
                <w:lang w:eastAsia="en-US"/>
              </w:rPr>
              <w:t>Age 0-10 Males</w:t>
            </w:r>
          </w:p>
        </w:tc>
        <w:tc>
          <w:tcPr>
            <w:tcW w:w="1980" w:type="dxa"/>
            <w:shd w:val="clear" w:color="auto" w:fill="auto"/>
            <w:noWrap/>
            <w:vAlign w:val="bottom"/>
          </w:tcPr>
          <w:p w:rsidR="00FE0200" w:rsidRPr="00DA396C" w:rsidRDefault="00FE0200" w:rsidP="003C352E">
            <w:pPr>
              <w:jc w:val="center"/>
              <w:rPr>
                <w:rFonts w:ascii="Times" w:eastAsia="Times New Roman" w:hAnsi="Times" w:cs="Times New Roman"/>
                <w:sz w:val="18"/>
                <w:szCs w:val="18"/>
                <w:lang w:eastAsia="en-US"/>
              </w:rPr>
            </w:pPr>
          </w:p>
        </w:tc>
        <w:tc>
          <w:tcPr>
            <w:tcW w:w="2160" w:type="dxa"/>
            <w:shd w:val="clear" w:color="auto" w:fill="auto"/>
            <w:noWrap/>
            <w:vAlign w:val="bottom"/>
          </w:tcPr>
          <w:p w:rsidR="00FE0200" w:rsidRPr="00DA396C" w:rsidRDefault="00FE0200" w:rsidP="003C352E">
            <w:pPr>
              <w:jc w:val="center"/>
              <w:rPr>
                <w:rFonts w:ascii="Times" w:eastAsia="Times New Roman" w:hAnsi="Times" w:cs="Times New Roman"/>
                <w:sz w:val="18"/>
                <w:szCs w:val="18"/>
                <w:lang w:eastAsia="en-US"/>
              </w:rPr>
            </w:pPr>
          </w:p>
        </w:tc>
        <w:tc>
          <w:tcPr>
            <w:tcW w:w="2234" w:type="dxa"/>
            <w:shd w:val="clear" w:color="auto" w:fill="auto"/>
            <w:noWrap/>
            <w:vAlign w:val="bottom"/>
          </w:tcPr>
          <w:p w:rsidR="00FE0200" w:rsidRPr="00DA396C" w:rsidRDefault="00FE0200" w:rsidP="003C352E">
            <w:pPr>
              <w:jc w:val="center"/>
              <w:rPr>
                <w:rFonts w:ascii="Times" w:eastAsia="Times New Roman" w:hAnsi="Times" w:cs="Times New Roman"/>
                <w:sz w:val="18"/>
                <w:szCs w:val="18"/>
                <w:lang w:eastAsia="en-US"/>
              </w:rPr>
            </w:pPr>
          </w:p>
        </w:tc>
      </w:tr>
      <w:tr w:rsidR="00FE0200" w:rsidRPr="008E6952" w:rsidTr="003C352E">
        <w:trPr>
          <w:trHeight w:val="240"/>
        </w:trPr>
        <w:tc>
          <w:tcPr>
            <w:tcW w:w="1275"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845</w:t>
            </w:r>
          </w:p>
        </w:tc>
        <w:tc>
          <w:tcPr>
            <w:tcW w:w="1902"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9.91</w:t>
            </w:r>
          </w:p>
        </w:tc>
        <w:tc>
          <w:tcPr>
            <w:tcW w:w="1980"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5.88</w:t>
            </w:r>
          </w:p>
        </w:tc>
        <w:tc>
          <w:tcPr>
            <w:tcW w:w="2160"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0.372</w:t>
            </w:r>
          </w:p>
        </w:tc>
        <w:tc>
          <w:tcPr>
            <w:tcW w:w="2234"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15.79</w:t>
            </w:r>
          </w:p>
        </w:tc>
      </w:tr>
      <w:tr w:rsidR="00FE0200" w:rsidRPr="008E6952" w:rsidTr="003C352E">
        <w:trPr>
          <w:trHeight w:val="240"/>
        </w:trPr>
        <w:tc>
          <w:tcPr>
            <w:tcW w:w="1275"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282</w:t>
            </w:r>
          </w:p>
        </w:tc>
        <w:tc>
          <w:tcPr>
            <w:tcW w:w="1902"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13.39</w:t>
            </w:r>
          </w:p>
        </w:tc>
        <w:tc>
          <w:tcPr>
            <w:tcW w:w="1980"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3.54</w:t>
            </w:r>
          </w:p>
        </w:tc>
        <w:tc>
          <w:tcPr>
            <w:tcW w:w="2160"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0.209</w:t>
            </w:r>
          </w:p>
        </w:tc>
        <w:tc>
          <w:tcPr>
            <w:tcW w:w="2234"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16.93</w:t>
            </w:r>
          </w:p>
        </w:tc>
      </w:tr>
      <w:tr w:rsidR="00FE0200" w:rsidRPr="008E6952" w:rsidTr="003C352E">
        <w:trPr>
          <w:trHeight w:val="240"/>
        </w:trPr>
        <w:tc>
          <w:tcPr>
            <w:tcW w:w="1275"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671</w:t>
            </w:r>
          </w:p>
        </w:tc>
        <w:tc>
          <w:tcPr>
            <w:tcW w:w="1902"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7.35</w:t>
            </w:r>
          </w:p>
        </w:tc>
        <w:tc>
          <w:tcPr>
            <w:tcW w:w="1980"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3.06</w:t>
            </w:r>
          </w:p>
        </w:tc>
        <w:tc>
          <w:tcPr>
            <w:tcW w:w="2160"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0.294</w:t>
            </w:r>
          </w:p>
        </w:tc>
        <w:tc>
          <w:tcPr>
            <w:tcW w:w="2234"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10.41</w:t>
            </w:r>
          </w:p>
        </w:tc>
      </w:tr>
      <w:tr w:rsidR="00FE0200" w:rsidRPr="008E6952" w:rsidTr="003C352E">
        <w:trPr>
          <w:trHeight w:val="240"/>
        </w:trPr>
        <w:tc>
          <w:tcPr>
            <w:tcW w:w="1275"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268</w:t>
            </w:r>
          </w:p>
        </w:tc>
        <w:tc>
          <w:tcPr>
            <w:tcW w:w="1902"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17.15</w:t>
            </w:r>
          </w:p>
        </w:tc>
        <w:tc>
          <w:tcPr>
            <w:tcW w:w="1980"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3.89</w:t>
            </w:r>
          </w:p>
        </w:tc>
        <w:tc>
          <w:tcPr>
            <w:tcW w:w="2160"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0.185</w:t>
            </w:r>
          </w:p>
        </w:tc>
        <w:tc>
          <w:tcPr>
            <w:tcW w:w="2234"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21.04</w:t>
            </w:r>
          </w:p>
        </w:tc>
      </w:tr>
      <w:tr w:rsidR="00FE0200" w:rsidRPr="008E6952" w:rsidTr="003C352E">
        <w:trPr>
          <w:trHeight w:val="240"/>
        </w:trPr>
        <w:tc>
          <w:tcPr>
            <w:tcW w:w="1275"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270</w:t>
            </w:r>
          </w:p>
        </w:tc>
        <w:tc>
          <w:tcPr>
            <w:tcW w:w="1902"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5.05</w:t>
            </w:r>
          </w:p>
        </w:tc>
        <w:tc>
          <w:tcPr>
            <w:tcW w:w="1980"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2.54</w:t>
            </w:r>
          </w:p>
        </w:tc>
        <w:tc>
          <w:tcPr>
            <w:tcW w:w="2160"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0.335</w:t>
            </w:r>
          </w:p>
        </w:tc>
        <w:tc>
          <w:tcPr>
            <w:tcW w:w="2234"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7.59</w:t>
            </w:r>
          </w:p>
        </w:tc>
      </w:tr>
      <w:tr w:rsidR="00FE0200" w:rsidRPr="008E6952" w:rsidTr="003C352E">
        <w:trPr>
          <w:trHeight w:val="240"/>
        </w:trPr>
        <w:tc>
          <w:tcPr>
            <w:tcW w:w="1275"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395</w:t>
            </w:r>
          </w:p>
        </w:tc>
        <w:tc>
          <w:tcPr>
            <w:tcW w:w="1902"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21.25</w:t>
            </w:r>
          </w:p>
        </w:tc>
        <w:tc>
          <w:tcPr>
            <w:tcW w:w="1980"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3.99</w:t>
            </w:r>
          </w:p>
        </w:tc>
        <w:tc>
          <w:tcPr>
            <w:tcW w:w="2160"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0.158</w:t>
            </w:r>
          </w:p>
        </w:tc>
        <w:tc>
          <w:tcPr>
            <w:tcW w:w="2234"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25.24</w:t>
            </w:r>
          </w:p>
        </w:tc>
      </w:tr>
      <w:tr w:rsidR="00FE0200" w:rsidRPr="008E6952" w:rsidTr="003C352E">
        <w:trPr>
          <w:trHeight w:val="240"/>
        </w:trPr>
        <w:tc>
          <w:tcPr>
            <w:tcW w:w="1275"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825</w:t>
            </w:r>
          </w:p>
        </w:tc>
        <w:tc>
          <w:tcPr>
            <w:tcW w:w="1902"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30.37</w:t>
            </w:r>
          </w:p>
        </w:tc>
        <w:tc>
          <w:tcPr>
            <w:tcW w:w="1980"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16.28</w:t>
            </w:r>
          </w:p>
        </w:tc>
        <w:tc>
          <w:tcPr>
            <w:tcW w:w="2160"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0.349</w:t>
            </w:r>
          </w:p>
        </w:tc>
        <w:tc>
          <w:tcPr>
            <w:tcW w:w="2234"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46.65</w:t>
            </w:r>
          </w:p>
        </w:tc>
      </w:tr>
      <w:tr w:rsidR="00FE0200" w:rsidRPr="008E6952" w:rsidTr="003C352E">
        <w:trPr>
          <w:trHeight w:val="240"/>
        </w:trPr>
        <w:tc>
          <w:tcPr>
            <w:tcW w:w="1275"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322</w:t>
            </w:r>
          </w:p>
        </w:tc>
        <w:tc>
          <w:tcPr>
            <w:tcW w:w="1902"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39.03</w:t>
            </w:r>
          </w:p>
        </w:tc>
        <w:tc>
          <w:tcPr>
            <w:tcW w:w="1980"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3.3</w:t>
            </w:r>
          </w:p>
        </w:tc>
        <w:tc>
          <w:tcPr>
            <w:tcW w:w="2160"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0.078</w:t>
            </w:r>
          </w:p>
        </w:tc>
        <w:tc>
          <w:tcPr>
            <w:tcW w:w="2234"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42.33</w:t>
            </w:r>
          </w:p>
        </w:tc>
      </w:tr>
      <w:tr w:rsidR="00FE0200" w:rsidRPr="008E6952" w:rsidTr="003C352E">
        <w:trPr>
          <w:trHeight w:val="240"/>
        </w:trPr>
        <w:tc>
          <w:tcPr>
            <w:tcW w:w="1275"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346</w:t>
            </w:r>
          </w:p>
        </w:tc>
        <w:tc>
          <w:tcPr>
            <w:tcW w:w="1902"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43.41</w:t>
            </w:r>
          </w:p>
        </w:tc>
        <w:tc>
          <w:tcPr>
            <w:tcW w:w="1980"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25.75</w:t>
            </w:r>
          </w:p>
        </w:tc>
        <w:tc>
          <w:tcPr>
            <w:tcW w:w="2160"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0.372</w:t>
            </w:r>
          </w:p>
        </w:tc>
        <w:tc>
          <w:tcPr>
            <w:tcW w:w="2234"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69.16</w:t>
            </w:r>
          </w:p>
        </w:tc>
      </w:tr>
      <w:tr w:rsidR="00FE0200" w:rsidRPr="008E6952" w:rsidTr="003C352E">
        <w:trPr>
          <w:trHeight w:val="240"/>
        </w:trPr>
        <w:tc>
          <w:tcPr>
            <w:tcW w:w="1275"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551</w:t>
            </w:r>
          </w:p>
        </w:tc>
        <w:tc>
          <w:tcPr>
            <w:tcW w:w="1902"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23.55</w:t>
            </w:r>
          </w:p>
        </w:tc>
        <w:tc>
          <w:tcPr>
            <w:tcW w:w="1980"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5.07</w:t>
            </w:r>
          </w:p>
        </w:tc>
        <w:tc>
          <w:tcPr>
            <w:tcW w:w="2160"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0.177</w:t>
            </w:r>
          </w:p>
        </w:tc>
        <w:tc>
          <w:tcPr>
            <w:tcW w:w="2234"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28.62</w:t>
            </w:r>
          </w:p>
        </w:tc>
      </w:tr>
      <w:tr w:rsidR="00FE0200" w:rsidRPr="008E6952" w:rsidTr="003C352E">
        <w:trPr>
          <w:trHeight w:val="240"/>
        </w:trPr>
        <w:tc>
          <w:tcPr>
            <w:tcW w:w="1275"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852</w:t>
            </w:r>
          </w:p>
        </w:tc>
        <w:tc>
          <w:tcPr>
            <w:tcW w:w="1902"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43.67</w:t>
            </w:r>
          </w:p>
        </w:tc>
        <w:tc>
          <w:tcPr>
            <w:tcW w:w="1980"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9.91</w:t>
            </w:r>
          </w:p>
        </w:tc>
        <w:tc>
          <w:tcPr>
            <w:tcW w:w="2160"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0.185</w:t>
            </w:r>
          </w:p>
        </w:tc>
        <w:tc>
          <w:tcPr>
            <w:tcW w:w="2234"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53.58</w:t>
            </w:r>
          </w:p>
        </w:tc>
      </w:tr>
      <w:tr w:rsidR="00FE0200" w:rsidRPr="008E6952" w:rsidTr="003C352E">
        <w:trPr>
          <w:trHeight w:val="240"/>
        </w:trPr>
        <w:tc>
          <w:tcPr>
            <w:tcW w:w="1275"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792</w:t>
            </w:r>
          </w:p>
        </w:tc>
        <w:tc>
          <w:tcPr>
            <w:tcW w:w="1902"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38.63</w:t>
            </w:r>
          </w:p>
        </w:tc>
        <w:tc>
          <w:tcPr>
            <w:tcW w:w="1980"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5.29</w:t>
            </w:r>
          </w:p>
        </w:tc>
        <w:tc>
          <w:tcPr>
            <w:tcW w:w="2160"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0.120</w:t>
            </w:r>
          </w:p>
        </w:tc>
        <w:tc>
          <w:tcPr>
            <w:tcW w:w="2234"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43.92</w:t>
            </w:r>
          </w:p>
        </w:tc>
      </w:tr>
      <w:tr w:rsidR="00FE0200" w:rsidRPr="008E6952" w:rsidTr="003C352E">
        <w:trPr>
          <w:trHeight w:val="240"/>
        </w:trPr>
        <w:tc>
          <w:tcPr>
            <w:tcW w:w="1275"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675</w:t>
            </w:r>
          </w:p>
        </w:tc>
        <w:tc>
          <w:tcPr>
            <w:tcW w:w="1902"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1.42</w:t>
            </w:r>
          </w:p>
        </w:tc>
        <w:tc>
          <w:tcPr>
            <w:tcW w:w="1980"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1.6</w:t>
            </w:r>
          </w:p>
        </w:tc>
        <w:tc>
          <w:tcPr>
            <w:tcW w:w="2160"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0.530</w:t>
            </w:r>
          </w:p>
        </w:tc>
        <w:tc>
          <w:tcPr>
            <w:tcW w:w="2234"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3.02</w:t>
            </w:r>
          </w:p>
        </w:tc>
      </w:tr>
      <w:tr w:rsidR="00FE0200" w:rsidRPr="008E6952" w:rsidTr="003C352E">
        <w:trPr>
          <w:trHeight w:val="240"/>
        </w:trPr>
        <w:tc>
          <w:tcPr>
            <w:tcW w:w="1275"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215</w:t>
            </w:r>
          </w:p>
        </w:tc>
        <w:tc>
          <w:tcPr>
            <w:tcW w:w="1902"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9.44</w:t>
            </w:r>
          </w:p>
        </w:tc>
        <w:tc>
          <w:tcPr>
            <w:tcW w:w="1980"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5.6</w:t>
            </w:r>
          </w:p>
        </w:tc>
        <w:tc>
          <w:tcPr>
            <w:tcW w:w="2160"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0.372</w:t>
            </w:r>
          </w:p>
        </w:tc>
        <w:tc>
          <w:tcPr>
            <w:tcW w:w="2234"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15.04</w:t>
            </w:r>
          </w:p>
        </w:tc>
      </w:tr>
      <w:tr w:rsidR="00FE0200" w:rsidRPr="008E6952" w:rsidTr="003C352E">
        <w:trPr>
          <w:trHeight w:val="240"/>
        </w:trPr>
        <w:tc>
          <w:tcPr>
            <w:tcW w:w="1275"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59</w:t>
            </w:r>
          </w:p>
        </w:tc>
        <w:tc>
          <w:tcPr>
            <w:tcW w:w="1902"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5.02</w:t>
            </w:r>
          </w:p>
        </w:tc>
        <w:tc>
          <w:tcPr>
            <w:tcW w:w="1980"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0.87</w:t>
            </w:r>
          </w:p>
        </w:tc>
        <w:tc>
          <w:tcPr>
            <w:tcW w:w="2160"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0.148</w:t>
            </w:r>
          </w:p>
        </w:tc>
        <w:tc>
          <w:tcPr>
            <w:tcW w:w="2234"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5.89</w:t>
            </w:r>
          </w:p>
        </w:tc>
      </w:tr>
      <w:tr w:rsidR="00FE0200" w:rsidRPr="008E6952" w:rsidTr="003C352E">
        <w:trPr>
          <w:trHeight w:val="240"/>
        </w:trPr>
        <w:tc>
          <w:tcPr>
            <w:tcW w:w="1275"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485</w:t>
            </w:r>
          </w:p>
        </w:tc>
        <w:tc>
          <w:tcPr>
            <w:tcW w:w="1902"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2.28</w:t>
            </w:r>
          </w:p>
        </w:tc>
        <w:tc>
          <w:tcPr>
            <w:tcW w:w="1980"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0.1</w:t>
            </w:r>
          </w:p>
        </w:tc>
        <w:tc>
          <w:tcPr>
            <w:tcW w:w="2160"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0.042</w:t>
            </w:r>
          </w:p>
        </w:tc>
        <w:tc>
          <w:tcPr>
            <w:tcW w:w="2234" w:type="dxa"/>
            <w:shd w:val="clear" w:color="auto" w:fill="auto"/>
            <w:noWrap/>
            <w:vAlign w:val="bottom"/>
            <w:hideMark/>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2.38</w:t>
            </w:r>
          </w:p>
        </w:tc>
      </w:tr>
      <w:tr w:rsidR="00FE0200" w:rsidRPr="008E6952" w:rsidTr="003C352E">
        <w:trPr>
          <w:trHeight w:val="240"/>
        </w:trPr>
        <w:tc>
          <w:tcPr>
            <w:tcW w:w="1275" w:type="dxa"/>
            <w:shd w:val="clear" w:color="auto" w:fill="auto"/>
            <w:noWrap/>
            <w:vAlign w:val="bottom"/>
          </w:tcPr>
          <w:p w:rsidR="00FE0200" w:rsidRPr="00DA396C" w:rsidRDefault="00FE0200" w:rsidP="003C352E">
            <w:pPr>
              <w:jc w:val="center"/>
              <w:rPr>
                <w:rFonts w:ascii="Times" w:eastAsia="Times New Roman" w:hAnsi="Times" w:cs="Times New Roman"/>
                <w:sz w:val="18"/>
                <w:szCs w:val="18"/>
                <w:lang w:eastAsia="en-US"/>
              </w:rPr>
            </w:pPr>
            <w:proofErr w:type="spellStart"/>
            <w:r>
              <w:rPr>
                <w:rFonts w:ascii="Times" w:eastAsia="Times New Roman" w:hAnsi="Times" w:cs="Times New Roman"/>
                <w:sz w:val="18"/>
                <w:szCs w:val="18"/>
                <w:lang w:eastAsia="en-US"/>
              </w:rPr>
              <w:t>Gmean</w:t>
            </w:r>
            <w:proofErr w:type="spellEnd"/>
          </w:p>
        </w:tc>
        <w:tc>
          <w:tcPr>
            <w:tcW w:w="1902" w:type="dxa"/>
            <w:shd w:val="clear" w:color="auto" w:fill="auto"/>
            <w:noWrap/>
            <w:vAlign w:val="bottom"/>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12.86</w:t>
            </w:r>
          </w:p>
        </w:tc>
        <w:tc>
          <w:tcPr>
            <w:tcW w:w="1980" w:type="dxa"/>
            <w:shd w:val="clear" w:color="auto" w:fill="auto"/>
            <w:noWrap/>
            <w:vAlign w:val="bottom"/>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3.58</w:t>
            </w:r>
          </w:p>
        </w:tc>
        <w:tc>
          <w:tcPr>
            <w:tcW w:w="2160" w:type="dxa"/>
            <w:shd w:val="clear" w:color="auto" w:fill="auto"/>
            <w:noWrap/>
            <w:vAlign w:val="bottom"/>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0.207</w:t>
            </w:r>
          </w:p>
        </w:tc>
        <w:tc>
          <w:tcPr>
            <w:tcW w:w="2234" w:type="dxa"/>
            <w:shd w:val="clear" w:color="auto" w:fill="auto"/>
            <w:noWrap/>
            <w:vAlign w:val="bottom"/>
          </w:tcPr>
          <w:p w:rsidR="00FE0200" w:rsidRPr="0080562F" w:rsidRDefault="00FE0200" w:rsidP="003C352E">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17.32</w:t>
            </w:r>
          </w:p>
        </w:tc>
      </w:tr>
      <w:tr w:rsidR="00FE0200" w:rsidRPr="008E6952" w:rsidTr="003C352E">
        <w:trPr>
          <w:trHeight w:val="240"/>
        </w:trPr>
        <w:tc>
          <w:tcPr>
            <w:tcW w:w="3177" w:type="dxa"/>
            <w:gridSpan w:val="2"/>
            <w:shd w:val="clear" w:color="auto" w:fill="auto"/>
            <w:noWrap/>
            <w:vAlign w:val="bottom"/>
          </w:tcPr>
          <w:p w:rsidR="00FE0200" w:rsidRPr="00DA396C" w:rsidRDefault="00FE0200" w:rsidP="003C352E">
            <w:pPr>
              <w:jc w:val="center"/>
              <w:rPr>
                <w:rFonts w:ascii="Times" w:eastAsia="Times New Roman" w:hAnsi="Times" w:cs="Times New Roman"/>
                <w:sz w:val="18"/>
                <w:szCs w:val="18"/>
                <w:lang w:eastAsia="en-US"/>
              </w:rPr>
            </w:pPr>
            <w:r>
              <w:rPr>
                <w:rFonts w:ascii="Times" w:eastAsia="Times New Roman" w:hAnsi="Times" w:cs="Times New Roman"/>
                <w:sz w:val="18"/>
                <w:szCs w:val="18"/>
                <w:lang w:eastAsia="en-US"/>
              </w:rPr>
              <w:t>Age 17-75 Males</w:t>
            </w:r>
          </w:p>
        </w:tc>
        <w:tc>
          <w:tcPr>
            <w:tcW w:w="1980" w:type="dxa"/>
            <w:shd w:val="clear" w:color="auto" w:fill="auto"/>
            <w:noWrap/>
            <w:vAlign w:val="bottom"/>
          </w:tcPr>
          <w:p w:rsidR="00FE0200" w:rsidRPr="00DA396C" w:rsidRDefault="00FE0200" w:rsidP="003C352E">
            <w:pPr>
              <w:jc w:val="center"/>
              <w:rPr>
                <w:rFonts w:ascii="Times" w:eastAsia="Times New Roman" w:hAnsi="Times" w:cs="Times New Roman"/>
                <w:sz w:val="18"/>
                <w:szCs w:val="18"/>
                <w:lang w:eastAsia="en-US"/>
              </w:rPr>
            </w:pPr>
          </w:p>
        </w:tc>
        <w:tc>
          <w:tcPr>
            <w:tcW w:w="2160" w:type="dxa"/>
            <w:shd w:val="clear" w:color="auto" w:fill="auto"/>
            <w:noWrap/>
            <w:vAlign w:val="bottom"/>
          </w:tcPr>
          <w:p w:rsidR="00FE0200" w:rsidRPr="00DA396C" w:rsidRDefault="00FE0200" w:rsidP="003C352E">
            <w:pPr>
              <w:jc w:val="center"/>
              <w:rPr>
                <w:rFonts w:ascii="Times" w:eastAsia="Times New Roman" w:hAnsi="Times" w:cs="Times New Roman"/>
                <w:sz w:val="18"/>
                <w:szCs w:val="18"/>
                <w:lang w:eastAsia="en-US"/>
              </w:rPr>
            </w:pPr>
          </w:p>
        </w:tc>
        <w:tc>
          <w:tcPr>
            <w:tcW w:w="2234" w:type="dxa"/>
            <w:shd w:val="clear" w:color="auto" w:fill="auto"/>
            <w:noWrap/>
            <w:vAlign w:val="bottom"/>
          </w:tcPr>
          <w:p w:rsidR="00FE0200" w:rsidRPr="00DA396C" w:rsidRDefault="00FE0200" w:rsidP="003C352E">
            <w:pPr>
              <w:jc w:val="center"/>
              <w:rPr>
                <w:rFonts w:ascii="Times" w:eastAsia="Times New Roman" w:hAnsi="Times" w:cs="Times New Roman"/>
                <w:sz w:val="18"/>
                <w:szCs w:val="18"/>
                <w:lang w:eastAsia="en-US"/>
              </w:rPr>
            </w:pPr>
          </w:p>
        </w:tc>
      </w:tr>
      <w:tr w:rsidR="00FE0200" w:rsidRPr="008E6952" w:rsidTr="003C352E">
        <w:trPr>
          <w:trHeight w:val="240"/>
        </w:trPr>
        <w:tc>
          <w:tcPr>
            <w:tcW w:w="1275" w:type="dxa"/>
            <w:shd w:val="clear" w:color="auto" w:fill="auto"/>
            <w:noWrap/>
            <w:vAlign w:val="bottom"/>
            <w:hideMark/>
          </w:tcPr>
          <w:p w:rsidR="00FE0200" w:rsidRPr="00FC2B89" w:rsidRDefault="00FE0200" w:rsidP="003C352E">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133</w:t>
            </w:r>
          </w:p>
        </w:tc>
        <w:tc>
          <w:tcPr>
            <w:tcW w:w="1902" w:type="dxa"/>
            <w:shd w:val="clear" w:color="auto" w:fill="auto"/>
            <w:noWrap/>
            <w:vAlign w:val="bottom"/>
            <w:hideMark/>
          </w:tcPr>
          <w:p w:rsidR="00FE0200" w:rsidRPr="00FC2B89" w:rsidRDefault="00FE0200" w:rsidP="003C352E">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21.99</w:t>
            </w:r>
          </w:p>
        </w:tc>
        <w:tc>
          <w:tcPr>
            <w:tcW w:w="1980" w:type="dxa"/>
            <w:shd w:val="clear" w:color="auto" w:fill="auto"/>
            <w:noWrap/>
            <w:vAlign w:val="bottom"/>
            <w:hideMark/>
          </w:tcPr>
          <w:p w:rsidR="00FE0200" w:rsidRPr="00FC2B89" w:rsidRDefault="00FE0200" w:rsidP="003C352E">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12.16</w:t>
            </w:r>
          </w:p>
        </w:tc>
        <w:tc>
          <w:tcPr>
            <w:tcW w:w="2160" w:type="dxa"/>
            <w:shd w:val="clear" w:color="auto" w:fill="auto"/>
            <w:noWrap/>
            <w:vAlign w:val="bottom"/>
            <w:hideMark/>
          </w:tcPr>
          <w:p w:rsidR="00FE0200" w:rsidRPr="00FC2B89" w:rsidRDefault="00FE0200" w:rsidP="003C352E">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0.356</w:t>
            </w:r>
          </w:p>
        </w:tc>
        <w:tc>
          <w:tcPr>
            <w:tcW w:w="2234" w:type="dxa"/>
            <w:shd w:val="clear" w:color="auto" w:fill="auto"/>
            <w:noWrap/>
            <w:vAlign w:val="bottom"/>
            <w:hideMark/>
          </w:tcPr>
          <w:p w:rsidR="00FE0200" w:rsidRPr="00FC2B89" w:rsidRDefault="00FE0200" w:rsidP="003C352E">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34.15</w:t>
            </w:r>
          </w:p>
        </w:tc>
      </w:tr>
      <w:tr w:rsidR="00FE0200" w:rsidRPr="008E6952" w:rsidTr="003C352E">
        <w:trPr>
          <w:trHeight w:val="240"/>
        </w:trPr>
        <w:tc>
          <w:tcPr>
            <w:tcW w:w="1275" w:type="dxa"/>
            <w:shd w:val="clear" w:color="auto" w:fill="auto"/>
            <w:noWrap/>
            <w:vAlign w:val="bottom"/>
            <w:hideMark/>
          </w:tcPr>
          <w:p w:rsidR="00FE0200" w:rsidRPr="00FC2B89" w:rsidRDefault="00FE0200" w:rsidP="003C352E">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743</w:t>
            </w:r>
          </w:p>
        </w:tc>
        <w:tc>
          <w:tcPr>
            <w:tcW w:w="1902" w:type="dxa"/>
            <w:shd w:val="clear" w:color="auto" w:fill="auto"/>
            <w:noWrap/>
            <w:vAlign w:val="bottom"/>
            <w:hideMark/>
          </w:tcPr>
          <w:p w:rsidR="00FE0200" w:rsidRPr="00FC2B89" w:rsidRDefault="00FE0200" w:rsidP="003C352E">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12.33</w:t>
            </w:r>
          </w:p>
        </w:tc>
        <w:tc>
          <w:tcPr>
            <w:tcW w:w="1980" w:type="dxa"/>
            <w:shd w:val="clear" w:color="auto" w:fill="auto"/>
            <w:noWrap/>
            <w:vAlign w:val="bottom"/>
            <w:hideMark/>
          </w:tcPr>
          <w:p w:rsidR="00FE0200" w:rsidRPr="00FC2B89" w:rsidRDefault="00FE0200" w:rsidP="003C352E">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1.95</w:t>
            </w:r>
          </w:p>
        </w:tc>
        <w:tc>
          <w:tcPr>
            <w:tcW w:w="2160" w:type="dxa"/>
            <w:shd w:val="clear" w:color="auto" w:fill="auto"/>
            <w:noWrap/>
            <w:vAlign w:val="bottom"/>
            <w:hideMark/>
          </w:tcPr>
          <w:p w:rsidR="00FE0200" w:rsidRPr="00FC2B89" w:rsidRDefault="00FE0200" w:rsidP="003C352E">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0.137</w:t>
            </w:r>
          </w:p>
        </w:tc>
        <w:tc>
          <w:tcPr>
            <w:tcW w:w="2234" w:type="dxa"/>
            <w:shd w:val="clear" w:color="auto" w:fill="auto"/>
            <w:noWrap/>
            <w:vAlign w:val="bottom"/>
            <w:hideMark/>
          </w:tcPr>
          <w:p w:rsidR="00FE0200" w:rsidRPr="00FC2B89" w:rsidRDefault="00FE0200" w:rsidP="003C352E">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14.28</w:t>
            </w:r>
          </w:p>
        </w:tc>
      </w:tr>
      <w:tr w:rsidR="00FE0200" w:rsidRPr="008E6952" w:rsidTr="003C352E">
        <w:trPr>
          <w:trHeight w:val="240"/>
        </w:trPr>
        <w:tc>
          <w:tcPr>
            <w:tcW w:w="1275" w:type="dxa"/>
            <w:shd w:val="clear" w:color="auto" w:fill="auto"/>
            <w:noWrap/>
            <w:vAlign w:val="bottom"/>
            <w:hideMark/>
          </w:tcPr>
          <w:p w:rsidR="00FE0200" w:rsidRPr="00FC2B89" w:rsidRDefault="00FE0200" w:rsidP="003C352E">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752</w:t>
            </w:r>
          </w:p>
        </w:tc>
        <w:tc>
          <w:tcPr>
            <w:tcW w:w="1902" w:type="dxa"/>
            <w:shd w:val="clear" w:color="auto" w:fill="auto"/>
            <w:noWrap/>
            <w:vAlign w:val="bottom"/>
            <w:hideMark/>
          </w:tcPr>
          <w:p w:rsidR="00FE0200" w:rsidRPr="00FC2B89" w:rsidRDefault="00FE0200" w:rsidP="003C352E">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4.22</w:t>
            </w:r>
          </w:p>
        </w:tc>
        <w:tc>
          <w:tcPr>
            <w:tcW w:w="1980" w:type="dxa"/>
            <w:shd w:val="clear" w:color="auto" w:fill="auto"/>
            <w:noWrap/>
            <w:vAlign w:val="bottom"/>
            <w:hideMark/>
          </w:tcPr>
          <w:p w:rsidR="00FE0200" w:rsidRPr="00FC2B89" w:rsidRDefault="00FE0200" w:rsidP="003C352E">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2.68</w:t>
            </w:r>
          </w:p>
        </w:tc>
        <w:tc>
          <w:tcPr>
            <w:tcW w:w="2160" w:type="dxa"/>
            <w:shd w:val="clear" w:color="auto" w:fill="auto"/>
            <w:noWrap/>
            <w:vAlign w:val="bottom"/>
            <w:hideMark/>
          </w:tcPr>
          <w:p w:rsidR="00FE0200" w:rsidRPr="00FC2B89" w:rsidRDefault="00FE0200" w:rsidP="003C352E">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0.388</w:t>
            </w:r>
          </w:p>
        </w:tc>
        <w:tc>
          <w:tcPr>
            <w:tcW w:w="2234" w:type="dxa"/>
            <w:shd w:val="clear" w:color="auto" w:fill="auto"/>
            <w:noWrap/>
            <w:vAlign w:val="bottom"/>
            <w:hideMark/>
          </w:tcPr>
          <w:p w:rsidR="00FE0200" w:rsidRPr="00FC2B89" w:rsidRDefault="00FE0200" w:rsidP="003C352E">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6.90</w:t>
            </w:r>
          </w:p>
        </w:tc>
      </w:tr>
      <w:tr w:rsidR="00FE0200" w:rsidRPr="008E6952" w:rsidTr="003C352E">
        <w:trPr>
          <w:trHeight w:val="240"/>
        </w:trPr>
        <w:tc>
          <w:tcPr>
            <w:tcW w:w="1275" w:type="dxa"/>
            <w:shd w:val="clear" w:color="auto" w:fill="auto"/>
            <w:noWrap/>
            <w:vAlign w:val="bottom"/>
            <w:hideMark/>
          </w:tcPr>
          <w:p w:rsidR="00FE0200" w:rsidRPr="00FC2B89" w:rsidRDefault="00FE0200" w:rsidP="003C352E">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201</w:t>
            </w:r>
          </w:p>
        </w:tc>
        <w:tc>
          <w:tcPr>
            <w:tcW w:w="1902" w:type="dxa"/>
            <w:shd w:val="clear" w:color="auto" w:fill="auto"/>
            <w:noWrap/>
            <w:vAlign w:val="bottom"/>
            <w:hideMark/>
          </w:tcPr>
          <w:p w:rsidR="00FE0200" w:rsidRPr="00FC2B89" w:rsidRDefault="00FE0200" w:rsidP="003C352E">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22.48</w:t>
            </w:r>
          </w:p>
        </w:tc>
        <w:tc>
          <w:tcPr>
            <w:tcW w:w="1980" w:type="dxa"/>
            <w:shd w:val="clear" w:color="auto" w:fill="auto"/>
            <w:noWrap/>
            <w:vAlign w:val="bottom"/>
            <w:hideMark/>
          </w:tcPr>
          <w:p w:rsidR="00FE0200" w:rsidRPr="00FC2B89" w:rsidRDefault="00FE0200" w:rsidP="003C352E">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6.42</w:t>
            </w:r>
          </w:p>
        </w:tc>
        <w:tc>
          <w:tcPr>
            <w:tcW w:w="2160" w:type="dxa"/>
            <w:shd w:val="clear" w:color="auto" w:fill="auto"/>
            <w:noWrap/>
            <w:vAlign w:val="bottom"/>
            <w:hideMark/>
          </w:tcPr>
          <w:p w:rsidR="00FE0200" w:rsidRPr="00FC2B89" w:rsidRDefault="00FE0200" w:rsidP="003C352E">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0.222</w:t>
            </w:r>
          </w:p>
        </w:tc>
        <w:tc>
          <w:tcPr>
            <w:tcW w:w="2234" w:type="dxa"/>
            <w:shd w:val="clear" w:color="auto" w:fill="auto"/>
            <w:noWrap/>
            <w:vAlign w:val="bottom"/>
            <w:hideMark/>
          </w:tcPr>
          <w:p w:rsidR="00FE0200" w:rsidRPr="00FC2B89" w:rsidRDefault="00FE0200" w:rsidP="003C352E">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28.90</w:t>
            </w:r>
          </w:p>
        </w:tc>
      </w:tr>
      <w:tr w:rsidR="00FE0200" w:rsidRPr="008E6952" w:rsidTr="003C352E">
        <w:trPr>
          <w:trHeight w:val="240"/>
        </w:trPr>
        <w:tc>
          <w:tcPr>
            <w:tcW w:w="1275" w:type="dxa"/>
            <w:shd w:val="clear" w:color="auto" w:fill="auto"/>
            <w:noWrap/>
            <w:vAlign w:val="bottom"/>
            <w:hideMark/>
          </w:tcPr>
          <w:p w:rsidR="00FE0200" w:rsidRPr="00FC2B89" w:rsidRDefault="00FE0200" w:rsidP="003C352E">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203</w:t>
            </w:r>
          </w:p>
        </w:tc>
        <w:tc>
          <w:tcPr>
            <w:tcW w:w="1902" w:type="dxa"/>
            <w:shd w:val="clear" w:color="auto" w:fill="auto"/>
            <w:noWrap/>
            <w:vAlign w:val="bottom"/>
            <w:hideMark/>
          </w:tcPr>
          <w:p w:rsidR="00FE0200" w:rsidRPr="00FC2B89" w:rsidRDefault="00FE0200" w:rsidP="003C352E">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10.63</w:t>
            </w:r>
          </w:p>
        </w:tc>
        <w:tc>
          <w:tcPr>
            <w:tcW w:w="1980" w:type="dxa"/>
            <w:shd w:val="clear" w:color="auto" w:fill="auto"/>
            <w:noWrap/>
            <w:vAlign w:val="bottom"/>
            <w:hideMark/>
          </w:tcPr>
          <w:p w:rsidR="00FE0200" w:rsidRPr="00FC2B89" w:rsidRDefault="00FE0200" w:rsidP="003C352E">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4.1</w:t>
            </w:r>
          </w:p>
        </w:tc>
        <w:tc>
          <w:tcPr>
            <w:tcW w:w="2160" w:type="dxa"/>
            <w:shd w:val="clear" w:color="auto" w:fill="auto"/>
            <w:noWrap/>
            <w:vAlign w:val="bottom"/>
            <w:hideMark/>
          </w:tcPr>
          <w:p w:rsidR="00FE0200" w:rsidRPr="00FC2B89" w:rsidRDefault="00FE0200" w:rsidP="003C352E">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0.278</w:t>
            </w:r>
          </w:p>
        </w:tc>
        <w:tc>
          <w:tcPr>
            <w:tcW w:w="2234" w:type="dxa"/>
            <w:shd w:val="clear" w:color="auto" w:fill="auto"/>
            <w:noWrap/>
            <w:vAlign w:val="bottom"/>
            <w:hideMark/>
          </w:tcPr>
          <w:p w:rsidR="00FE0200" w:rsidRPr="00FC2B89" w:rsidRDefault="00FE0200" w:rsidP="003C352E">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14.73</w:t>
            </w:r>
          </w:p>
        </w:tc>
      </w:tr>
      <w:tr w:rsidR="00FE0200" w:rsidRPr="008E6952" w:rsidTr="003C352E">
        <w:trPr>
          <w:trHeight w:val="240"/>
        </w:trPr>
        <w:tc>
          <w:tcPr>
            <w:tcW w:w="1275" w:type="dxa"/>
            <w:shd w:val="clear" w:color="auto" w:fill="auto"/>
            <w:noWrap/>
            <w:vAlign w:val="bottom"/>
            <w:hideMark/>
          </w:tcPr>
          <w:p w:rsidR="00FE0200" w:rsidRPr="00DA396C" w:rsidRDefault="00FE0200" w:rsidP="003C352E">
            <w:pPr>
              <w:jc w:val="center"/>
              <w:rPr>
                <w:rFonts w:ascii="Times" w:eastAsia="Times New Roman" w:hAnsi="Times" w:cs="Times New Roman"/>
                <w:sz w:val="18"/>
                <w:szCs w:val="18"/>
                <w:lang w:eastAsia="en-US"/>
              </w:rPr>
            </w:pPr>
            <w:proofErr w:type="spellStart"/>
            <w:r w:rsidRPr="00DA396C">
              <w:rPr>
                <w:rFonts w:ascii="Times" w:eastAsia="Times New Roman" w:hAnsi="Times" w:cs="Times New Roman"/>
                <w:sz w:val="18"/>
                <w:szCs w:val="18"/>
                <w:lang w:eastAsia="en-US"/>
              </w:rPr>
              <w:t>Gmean</w:t>
            </w:r>
            <w:proofErr w:type="spellEnd"/>
          </w:p>
        </w:tc>
        <w:tc>
          <w:tcPr>
            <w:tcW w:w="1902" w:type="dxa"/>
            <w:shd w:val="clear" w:color="auto" w:fill="auto"/>
            <w:noWrap/>
            <w:vAlign w:val="bottom"/>
            <w:hideMark/>
          </w:tcPr>
          <w:p w:rsidR="00FE0200" w:rsidRPr="00CD52A9" w:rsidRDefault="00FE0200" w:rsidP="003C352E">
            <w:pPr>
              <w:jc w:val="center"/>
              <w:rPr>
                <w:rFonts w:ascii="Times New Roman" w:eastAsia="Times New Roman" w:hAnsi="Times New Roman" w:cs="Times New Roman"/>
                <w:sz w:val="18"/>
                <w:szCs w:val="18"/>
                <w:lang w:eastAsia="en-US"/>
              </w:rPr>
            </w:pPr>
            <w:r w:rsidRPr="00CD52A9">
              <w:rPr>
                <w:rFonts w:ascii="Times New Roman" w:eastAsia="Times New Roman" w:hAnsi="Times New Roman" w:cs="Times New Roman"/>
                <w:sz w:val="18"/>
                <w:szCs w:val="18"/>
              </w:rPr>
              <w:t>12.23</w:t>
            </w:r>
          </w:p>
        </w:tc>
        <w:tc>
          <w:tcPr>
            <w:tcW w:w="1980" w:type="dxa"/>
            <w:shd w:val="clear" w:color="auto" w:fill="auto"/>
            <w:noWrap/>
            <w:vAlign w:val="bottom"/>
            <w:hideMark/>
          </w:tcPr>
          <w:p w:rsidR="00FE0200" w:rsidRPr="00CD52A9" w:rsidRDefault="00FE0200" w:rsidP="003C352E">
            <w:pPr>
              <w:jc w:val="center"/>
              <w:rPr>
                <w:rFonts w:ascii="Times New Roman" w:eastAsia="Times New Roman" w:hAnsi="Times New Roman" w:cs="Times New Roman"/>
                <w:sz w:val="18"/>
                <w:szCs w:val="18"/>
                <w:lang w:eastAsia="en-US"/>
              </w:rPr>
            </w:pPr>
            <w:r w:rsidRPr="00CD52A9">
              <w:rPr>
                <w:rFonts w:ascii="Times New Roman" w:eastAsia="Times New Roman" w:hAnsi="Times New Roman" w:cs="Times New Roman"/>
                <w:sz w:val="18"/>
                <w:szCs w:val="18"/>
              </w:rPr>
              <w:t>4.41</w:t>
            </w:r>
          </w:p>
        </w:tc>
        <w:tc>
          <w:tcPr>
            <w:tcW w:w="2160" w:type="dxa"/>
            <w:shd w:val="clear" w:color="auto" w:fill="auto"/>
            <w:noWrap/>
            <w:vAlign w:val="bottom"/>
            <w:hideMark/>
          </w:tcPr>
          <w:p w:rsidR="00FE0200" w:rsidRPr="00CD52A9" w:rsidRDefault="00FE0200" w:rsidP="003C352E">
            <w:pPr>
              <w:jc w:val="center"/>
              <w:rPr>
                <w:rFonts w:ascii="Times New Roman" w:eastAsia="Times New Roman" w:hAnsi="Times New Roman" w:cs="Times New Roman"/>
                <w:sz w:val="18"/>
                <w:szCs w:val="18"/>
                <w:lang w:eastAsia="en-US"/>
              </w:rPr>
            </w:pPr>
            <w:r w:rsidRPr="00CD52A9">
              <w:rPr>
                <w:rFonts w:ascii="Times New Roman" w:eastAsia="Times New Roman" w:hAnsi="Times New Roman" w:cs="Times New Roman"/>
                <w:sz w:val="18"/>
                <w:szCs w:val="18"/>
              </w:rPr>
              <w:t>0.259</w:t>
            </w:r>
          </w:p>
        </w:tc>
        <w:tc>
          <w:tcPr>
            <w:tcW w:w="2234" w:type="dxa"/>
            <w:shd w:val="clear" w:color="auto" w:fill="auto"/>
            <w:noWrap/>
            <w:vAlign w:val="bottom"/>
            <w:hideMark/>
          </w:tcPr>
          <w:p w:rsidR="00FE0200" w:rsidRPr="00CD52A9" w:rsidRDefault="00FE0200" w:rsidP="003C352E">
            <w:pPr>
              <w:jc w:val="center"/>
              <w:rPr>
                <w:rFonts w:ascii="Times New Roman" w:eastAsia="Times New Roman" w:hAnsi="Times New Roman" w:cs="Times New Roman"/>
                <w:sz w:val="18"/>
                <w:szCs w:val="18"/>
                <w:lang w:eastAsia="en-US"/>
              </w:rPr>
            </w:pPr>
            <w:r w:rsidRPr="00CD52A9">
              <w:rPr>
                <w:rFonts w:ascii="Times New Roman" w:eastAsia="Times New Roman" w:hAnsi="Times New Roman" w:cs="Times New Roman"/>
                <w:sz w:val="18"/>
                <w:szCs w:val="18"/>
              </w:rPr>
              <w:t>17.03</w:t>
            </w:r>
          </w:p>
        </w:tc>
      </w:tr>
      <w:tr w:rsidR="00FE0200" w:rsidRPr="008E6952" w:rsidTr="003C352E">
        <w:trPr>
          <w:trHeight w:val="240"/>
        </w:trPr>
        <w:tc>
          <w:tcPr>
            <w:tcW w:w="1275" w:type="dxa"/>
            <w:shd w:val="clear" w:color="auto" w:fill="auto"/>
            <w:noWrap/>
            <w:vAlign w:val="bottom"/>
          </w:tcPr>
          <w:p w:rsidR="00FE0200" w:rsidRPr="00DA396C" w:rsidRDefault="00FE0200" w:rsidP="003C352E">
            <w:pPr>
              <w:jc w:val="center"/>
              <w:rPr>
                <w:rFonts w:ascii="Times" w:eastAsia="Times New Roman" w:hAnsi="Times" w:cs="Times New Roman"/>
                <w:sz w:val="18"/>
                <w:szCs w:val="18"/>
                <w:lang w:eastAsia="en-US"/>
              </w:rPr>
            </w:pPr>
          </w:p>
        </w:tc>
        <w:tc>
          <w:tcPr>
            <w:tcW w:w="1902" w:type="dxa"/>
            <w:shd w:val="clear" w:color="auto" w:fill="auto"/>
            <w:noWrap/>
            <w:vAlign w:val="bottom"/>
          </w:tcPr>
          <w:p w:rsidR="00FE0200" w:rsidRPr="00CD52A9" w:rsidRDefault="00FE0200" w:rsidP="003C352E">
            <w:pPr>
              <w:jc w:val="center"/>
              <w:rPr>
                <w:rFonts w:ascii="Times New Roman" w:eastAsia="Times New Roman" w:hAnsi="Times New Roman" w:cs="Times New Roman"/>
                <w:sz w:val="18"/>
                <w:szCs w:val="18"/>
              </w:rPr>
            </w:pPr>
          </w:p>
        </w:tc>
        <w:tc>
          <w:tcPr>
            <w:tcW w:w="1980" w:type="dxa"/>
            <w:shd w:val="clear" w:color="auto" w:fill="auto"/>
            <w:noWrap/>
            <w:vAlign w:val="bottom"/>
          </w:tcPr>
          <w:p w:rsidR="00FE0200" w:rsidRPr="00CD52A9" w:rsidRDefault="00FE0200" w:rsidP="003C352E">
            <w:pPr>
              <w:jc w:val="center"/>
              <w:rPr>
                <w:rFonts w:ascii="Times New Roman" w:eastAsia="Times New Roman" w:hAnsi="Times New Roman" w:cs="Times New Roman"/>
                <w:sz w:val="18"/>
                <w:szCs w:val="18"/>
              </w:rPr>
            </w:pPr>
          </w:p>
        </w:tc>
        <w:tc>
          <w:tcPr>
            <w:tcW w:w="2160" w:type="dxa"/>
            <w:shd w:val="clear" w:color="auto" w:fill="auto"/>
            <w:noWrap/>
            <w:vAlign w:val="bottom"/>
          </w:tcPr>
          <w:p w:rsidR="00FE0200" w:rsidRPr="00CD52A9" w:rsidRDefault="00FE0200" w:rsidP="003C352E">
            <w:pPr>
              <w:jc w:val="center"/>
              <w:rPr>
                <w:rFonts w:ascii="Times New Roman" w:eastAsia="Times New Roman" w:hAnsi="Times New Roman" w:cs="Times New Roman"/>
                <w:sz w:val="18"/>
                <w:szCs w:val="18"/>
              </w:rPr>
            </w:pPr>
            <w:r>
              <w:rPr>
                <w:rFonts w:ascii="Times" w:eastAsia="Times New Roman" w:hAnsi="Times" w:cs="Times New Roman"/>
                <w:sz w:val="18"/>
                <w:szCs w:val="18"/>
                <w:lang w:eastAsia="en-US"/>
              </w:rPr>
              <w:t xml:space="preserve">Approx lognormal 5%-95% confidence range for </w:t>
            </w:r>
            <w:proofErr w:type="spellStart"/>
            <w:r>
              <w:rPr>
                <w:rFonts w:ascii="Times" w:eastAsia="Times New Roman" w:hAnsi="Times" w:cs="Times New Roman"/>
                <w:sz w:val="18"/>
                <w:szCs w:val="18"/>
                <w:lang w:eastAsia="en-US"/>
              </w:rPr>
              <w:t>Gmean</w:t>
            </w:r>
            <w:proofErr w:type="spellEnd"/>
          </w:p>
        </w:tc>
        <w:tc>
          <w:tcPr>
            <w:tcW w:w="2234" w:type="dxa"/>
            <w:shd w:val="clear" w:color="auto" w:fill="auto"/>
            <w:noWrap/>
            <w:vAlign w:val="bottom"/>
          </w:tcPr>
          <w:p w:rsidR="00FE0200" w:rsidRPr="00CD52A9" w:rsidRDefault="00FE0200" w:rsidP="003C352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10.6-27.2</w:t>
            </w:r>
          </w:p>
        </w:tc>
      </w:tr>
    </w:tbl>
    <w:p w:rsidR="00FE0200" w:rsidRDefault="00FE0200" w:rsidP="00FE0200">
      <w:pPr>
        <w:pStyle w:val="Body"/>
        <w:jc w:val="center"/>
      </w:pPr>
    </w:p>
    <w:p w:rsidR="00FE0200" w:rsidRDefault="00FE0200" w:rsidP="00FE0200">
      <w:pPr>
        <w:rPr>
          <w:rFonts w:ascii="Times New Roman" w:hAnsi="Times New Roman" w:cs="Times New Roman"/>
        </w:rPr>
      </w:pPr>
    </w:p>
    <w:p w:rsidR="00FE0200" w:rsidRDefault="00FE0200" w:rsidP="00FE0200">
      <w:pPr>
        <w:rPr>
          <w:rFonts w:ascii="Times New Roman" w:hAnsi="Times New Roman" w:cs="Times New Roman"/>
        </w:rPr>
      </w:pPr>
      <w:r>
        <w:rPr>
          <w:rFonts w:ascii="Times New Roman" w:hAnsi="Times New Roman" w:cs="Times New Roman"/>
        </w:rPr>
        <w:lastRenderedPageBreak/>
        <w:t xml:space="preserve">There are two principal reasons for concern about the use of liver </w:t>
      </w:r>
      <w:proofErr w:type="spellStart"/>
      <w:r>
        <w:rPr>
          <w:rFonts w:ascii="Times New Roman" w:hAnsi="Times New Roman" w:cs="Times New Roman"/>
        </w:rPr>
        <w:t>microsomes</w:t>
      </w:r>
      <w:proofErr w:type="spellEnd"/>
      <w:r>
        <w:rPr>
          <w:rFonts w:ascii="Times New Roman" w:hAnsi="Times New Roman" w:cs="Times New Roman"/>
        </w:rPr>
        <w:t xml:space="preserve"> from recently deceased people to predict in vivo clearance rates for living people.  First, the in vitro measurements might not perfectly replicate the actual in vivo conditions under which the metabolic enzymes are operating because of possible differences in cofactor concentrations, pH, and other aspects of the incubation mixtures relative to the normal environment within liver cells.  Second, it is difficult to know whether there might have been changes in the activity of liver metabolizing enzymes in the interval between the humans’ deaths and the harvesting of the livers for metabolic enzyme extraction. Ito and Houston</w:t>
      </w:r>
      <w:r w:rsidRPr="00BF6691">
        <w:t xml:space="preserve"> </w:t>
      </w:r>
      <w:r w:rsidR="00C05ACF">
        <w:rPr>
          <w:sz w:val="20"/>
          <w:szCs w:val="20"/>
        </w:rPr>
        <w:t>(2005)</w:t>
      </w:r>
      <w:r w:rsidR="00C05ACF" w:rsidRPr="00383FF0">
        <w:t xml:space="preserve"> </w:t>
      </w:r>
      <w:r w:rsidR="004375A8">
        <w:rPr>
          <w:sz w:val="20"/>
          <w:szCs w:val="20"/>
        </w:rPr>
        <w:fldChar w:fldCharType="begin"/>
      </w:r>
      <w:r w:rsidR="002B6D02">
        <w:rPr>
          <w:sz w:val="20"/>
          <w:szCs w:val="20"/>
        </w:rPr>
        <w:instrText xml:space="preserve"> ADDIN EN.CITE &lt;EndNote&gt;&lt;Cite&gt;&lt;Author&gt;Ito&lt;/Author&gt;&lt;Year&gt;2005&lt;/Year&gt;&lt;RecNum&gt;104&lt;/RecNum&gt;&lt;DisplayText&gt;&lt;style face="superscript"&gt;(16)&lt;/style&gt;&lt;/DisplayText&gt;&lt;record&gt;&lt;rec-number&gt;104&lt;/rec-number&gt;&lt;foreign-keys&gt;&lt;key app="EN" db-id="0pfddxea8wsvd7ea90uxwfr3evst259x2f0f"&gt;104&lt;/key&gt;&lt;/foreign-keys&gt;&lt;ref-type name="Journal Article"&gt;17&lt;/ref-type&gt;&lt;contributors&gt;&lt;authors&gt;&lt;author&gt;Ito, K, Houston, JB&lt;/author&gt;&lt;/authors&gt;&lt;/contributors&gt;&lt;titles&gt;&lt;title&gt;Prediction of human drug clearance from in vitro and preclinical data using physiologically based and empirical approaches&lt;/title&gt;&lt;secondary-title&gt;Pharmaceutical research&lt;/secondary-title&gt;&lt;/titles&gt;&lt;periodical&gt;&lt;full-title&gt;Pharmaceutical research&lt;/full-title&gt;&lt;abbr-1&gt;Pharm Res&lt;/abbr-1&gt;&lt;/periodical&gt;&lt;pages&gt;103-112&lt;/pages&gt;&lt;volume&gt;22&lt;/volume&gt;&lt;number&gt;1&lt;/number&gt;&lt;dates&gt;&lt;year&gt;2005&lt;/year&gt;&lt;/dates&gt;&lt;urls&gt;&lt;/urls&gt;&lt;/record&gt;&lt;/Cite&gt;&lt;/EndNote&gt;</w:instrText>
      </w:r>
      <w:r w:rsidR="004375A8">
        <w:rPr>
          <w:sz w:val="20"/>
          <w:szCs w:val="20"/>
        </w:rPr>
        <w:fldChar w:fldCharType="separate"/>
      </w:r>
      <w:r w:rsidR="002B6D02" w:rsidRPr="002B6D02">
        <w:rPr>
          <w:noProof/>
          <w:sz w:val="20"/>
          <w:szCs w:val="20"/>
          <w:vertAlign w:val="superscript"/>
        </w:rPr>
        <w:t>(</w:t>
      </w:r>
      <w:hyperlink w:anchor="_ENREF_16" w:tooltip="Ito, 2005 #104" w:history="1">
        <w:r w:rsidR="002B6D02" w:rsidRPr="002B6D02">
          <w:rPr>
            <w:noProof/>
            <w:sz w:val="20"/>
            <w:szCs w:val="20"/>
            <w:vertAlign w:val="superscript"/>
          </w:rPr>
          <w:t>16</w:t>
        </w:r>
      </w:hyperlink>
      <w:r w:rsidR="002B6D02" w:rsidRPr="002B6D02">
        <w:rPr>
          <w:noProof/>
          <w:sz w:val="20"/>
          <w:szCs w:val="20"/>
          <w:vertAlign w:val="superscript"/>
        </w:rPr>
        <w:t>)</w:t>
      </w:r>
      <w:r w:rsidR="004375A8">
        <w:rPr>
          <w:sz w:val="20"/>
          <w:szCs w:val="20"/>
        </w:rPr>
        <w:fldChar w:fldCharType="end"/>
      </w:r>
      <w:r w:rsidR="00C05ACF">
        <w:rPr>
          <w:sz w:val="20"/>
          <w:szCs w:val="20"/>
        </w:rPr>
        <w:t xml:space="preserve"> </w:t>
      </w:r>
      <w:r>
        <w:rPr>
          <w:rFonts w:ascii="Times New Roman" w:hAnsi="Times New Roman" w:cs="Times New Roman"/>
        </w:rPr>
        <w:t xml:space="preserve">have published an extensive set of comparisons of in vivo intrinsic metabolic clearance rates predicted from liver </w:t>
      </w:r>
      <w:proofErr w:type="spellStart"/>
      <w:r>
        <w:rPr>
          <w:rFonts w:ascii="Times New Roman" w:hAnsi="Times New Roman" w:cs="Times New Roman"/>
        </w:rPr>
        <w:t>microsome</w:t>
      </w:r>
      <w:proofErr w:type="spellEnd"/>
      <w:r>
        <w:rPr>
          <w:rFonts w:ascii="Times New Roman" w:hAnsi="Times New Roman" w:cs="Times New Roman"/>
        </w:rPr>
        <w:t xml:space="preserve"> measurements in comparison with those obser</w:t>
      </w:r>
      <w:r w:rsidR="0018210E">
        <w:rPr>
          <w:rFonts w:ascii="Times New Roman" w:hAnsi="Times New Roman" w:cs="Times New Roman"/>
        </w:rPr>
        <w:t>ved in in vivo studies</w:t>
      </w:r>
      <w:r w:rsidR="00C05ACF">
        <w:rPr>
          <w:rFonts w:ascii="Times New Roman" w:hAnsi="Times New Roman" w:cs="Times New Roman"/>
        </w:rPr>
        <w:t xml:space="preserve"> for 52 drugs.  </w:t>
      </w:r>
      <w:r>
        <w:rPr>
          <w:rFonts w:ascii="Times New Roman" w:hAnsi="Times New Roman" w:cs="Times New Roman"/>
        </w:rPr>
        <w:t>The estimates of in vivo intrinsic clearance were defined by the equation:</w:t>
      </w:r>
    </w:p>
    <w:p w:rsidR="00FE0200" w:rsidRDefault="00FE0200" w:rsidP="00FE0200">
      <w:pPr>
        <w:rPr>
          <w:rFonts w:ascii="Times New Roman" w:hAnsi="Times New Roman" w:cs="Times New Roman"/>
        </w:rPr>
      </w:pPr>
    </w:p>
    <w:p w:rsidR="00FE0200" w:rsidRPr="008E0B0A" w:rsidRDefault="00FE0200" w:rsidP="00FE0200">
      <w:pPr>
        <w:rPr>
          <w:rFonts w:ascii="Times New Roman" w:hAnsi="Times New Roman" w:cs="Times New Roman"/>
        </w:rPr>
      </w:pPr>
      <w:proofErr w:type="spellStart"/>
      <w:r>
        <w:rPr>
          <w:rFonts w:ascii="Times New Roman" w:hAnsi="Times New Roman" w:cs="Times New Roman"/>
        </w:rPr>
        <w:t>Cl</w:t>
      </w:r>
      <w:r>
        <w:rPr>
          <w:rFonts w:ascii="Times New Roman" w:hAnsi="Times New Roman" w:cs="Times New Roman"/>
          <w:sz w:val="32"/>
          <w:szCs w:val="32"/>
          <w:vertAlign w:val="subscript"/>
        </w:rPr>
        <w:t>int</w:t>
      </w:r>
      <w:proofErr w:type="gramStart"/>
      <w:r>
        <w:rPr>
          <w:rFonts w:ascii="Times New Roman" w:hAnsi="Times New Roman" w:cs="Times New Roman"/>
          <w:sz w:val="32"/>
          <w:szCs w:val="32"/>
          <w:vertAlign w:val="subscript"/>
        </w:rPr>
        <w:t>,h,</w:t>
      </w:r>
      <w:r>
        <w:rPr>
          <w:rFonts w:ascii="Times New Roman" w:hAnsi="Times New Roman" w:cs="Times New Roman"/>
          <w:i/>
          <w:sz w:val="32"/>
          <w:szCs w:val="32"/>
          <w:vertAlign w:val="subscript"/>
        </w:rPr>
        <w:t>in</w:t>
      </w:r>
      <w:proofErr w:type="spellEnd"/>
      <w:proofErr w:type="gramEnd"/>
      <w:r>
        <w:rPr>
          <w:rFonts w:ascii="Times New Roman" w:hAnsi="Times New Roman" w:cs="Times New Roman"/>
          <w:i/>
          <w:sz w:val="32"/>
          <w:szCs w:val="32"/>
          <w:vertAlign w:val="subscript"/>
        </w:rPr>
        <w:t xml:space="preserve"> vivo</w:t>
      </w:r>
      <w:r>
        <w:rPr>
          <w:rFonts w:ascii="Times New Roman" w:hAnsi="Times New Roman" w:cs="Times New Roman"/>
        </w:rPr>
        <w:t xml:space="preserve"> = </w:t>
      </w:r>
      <w:r w:rsidRPr="008E0B0A">
        <w:rPr>
          <w:rFonts w:ascii="Times New Roman" w:hAnsi="Times New Roman" w:cs="Times New Roman"/>
          <w:position w:val="-4"/>
        </w:rPr>
        <w:object w:dxaOrig="180" w:dyaOrig="260">
          <v:shape id="_x0000_i1027" type="#_x0000_t75" style="width:9.5pt;height:13.5pt" o:ole="">
            <v:imagedata r:id="rId11" o:title=""/>
          </v:shape>
          <o:OLEObject Type="Embed" ProgID="Equation.3" ShapeID="_x0000_i1027" DrawAspect="Content" ObjectID="_1424517512" r:id="rId12"/>
        </w:object>
      </w:r>
      <m:oMath>
        <m:r>
          <w:rPr>
            <w:rFonts w:ascii="Cambria Math" w:hAnsi="Cambria Math" w:cs="Times New Roman"/>
            <w:i/>
            <w:position w:val="-10"/>
          </w:rPr>
          <w:object w:dxaOrig="2980" w:dyaOrig="320">
            <v:shape id="_x0000_i1028" type="#_x0000_t75" style="width:382.5pt;height:41.5pt" o:ole="">
              <v:imagedata r:id="rId13" o:title=""/>
            </v:shape>
            <o:OLEObject Type="Embed" ProgID="Equation.3" ShapeID="_x0000_i1028" DrawAspect="Content" ObjectID="_1424517513" r:id="rId14"/>
          </w:object>
        </m:r>
      </m:oMath>
    </w:p>
    <w:p w:rsidR="00FE0200" w:rsidRPr="008E0B0A" w:rsidRDefault="00FE0200" w:rsidP="00FE0200">
      <w:pPr>
        <w:rPr>
          <w:rFonts w:ascii="Times New Roman" w:hAnsi="Times New Roman" w:cs="Times New Roman"/>
        </w:rPr>
      </w:pPr>
    </w:p>
    <w:p w:rsidR="00FE0200" w:rsidRPr="00C05ACF" w:rsidRDefault="00FE0200" w:rsidP="00FE0200">
      <w:pPr>
        <w:rPr>
          <w:rFonts w:ascii="Times New Roman" w:hAnsi="Times New Roman" w:cs="Times New Roman"/>
        </w:rPr>
      </w:pPr>
      <w:proofErr w:type="gramStart"/>
      <w:r>
        <w:rPr>
          <w:rFonts w:ascii="Times New Roman" w:hAnsi="Times New Roman" w:cs="Times New Roman"/>
        </w:rPr>
        <w:t>where</w:t>
      </w:r>
      <w:proofErr w:type="gramEnd"/>
      <w:r>
        <w:rPr>
          <w:rFonts w:ascii="Times New Roman" w:hAnsi="Times New Roman" w:cs="Times New Roman"/>
        </w:rPr>
        <w:t xml:space="preserve"> </w:t>
      </w:r>
      <w:proofErr w:type="spellStart"/>
      <w:r>
        <w:rPr>
          <w:rFonts w:ascii="Times New Roman" w:hAnsi="Times New Roman" w:cs="Times New Roman"/>
        </w:rPr>
        <w:t>Q</w:t>
      </w:r>
      <w:r>
        <w:rPr>
          <w:rFonts w:ascii="Times New Roman" w:hAnsi="Times New Roman" w:cs="Times New Roman"/>
          <w:sz w:val="32"/>
          <w:szCs w:val="32"/>
          <w:vertAlign w:val="subscript"/>
        </w:rPr>
        <w:t>h</w:t>
      </w:r>
      <w:proofErr w:type="spellEnd"/>
      <w:r>
        <w:rPr>
          <w:rFonts w:ascii="Times New Roman" w:hAnsi="Times New Roman" w:cs="Times New Roman"/>
        </w:rPr>
        <w:t xml:space="preserve"> represents hepatic blood flow (20.7 ml/min), fu is the unbound fraction and R</w:t>
      </w:r>
      <w:r>
        <w:rPr>
          <w:rFonts w:ascii="Times New Roman" w:hAnsi="Times New Roman" w:cs="Times New Roman"/>
          <w:sz w:val="32"/>
          <w:szCs w:val="32"/>
          <w:vertAlign w:val="subscript"/>
        </w:rPr>
        <w:t>B</w:t>
      </w:r>
      <w:r>
        <w:rPr>
          <w:rFonts w:ascii="Times New Roman" w:hAnsi="Times New Roman" w:cs="Times New Roman"/>
        </w:rPr>
        <w:t xml:space="preserve"> is the blood-to-plasma concentration ratio.  The units of internal clearance are the effective volume of blood “cleared” of </w:t>
      </w:r>
      <w:proofErr w:type="spellStart"/>
      <w:r>
        <w:rPr>
          <w:rFonts w:ascii="Times New Roman" w:hAnsi="Times New Roman" w:cs="Times New Roman"/>
        </w:rPr>
        <w:t>chlorpyrifos</w:t>
      </w:r>
      <w:proofErr w:type="spellEnd"/>
      <w:r>
        <w:rPr>
          <w:rFonts w:ascii="Times New Roman" w:hAnsi="Times New Roman" w:cs="Times New Roman"/>
        </w:rPr>
        <w:t xml:space="preserve"> per unit of time.</w:t>
      </w:r>
      <w:r w:rsidR="00C05ACF">
        <w:rPr>
          <w:rFonts w:ascii="Times New Roman" w:hAnsi="Times New Roman" w:cs="Times New Roman"/>
        </w:rPr>
        <w:t xml:space="preserve">  </w:t>
      </w:r>
      <w:r w:rsidR="00C05ACF" w:rsidRPr="00C05ACF">
        <w:rPr>
          <w:rFonts w:ascii="Times New Roman" w:hAnsi="Times New Roman" w:cs="Times New Roman"/>
        </w:rPr>
        <w:t xml:space="preserve">These data indicate that microsomal data tend to </w:t>
      </w:r>
      <w:proofErr w:type="spellStart"/>
      <w:r w:rsidR="00C05ACF" w:rsidRPr="00C05ACF">
        <w:rPr>
          <w:rFonts w:ascii="Times New Roman" w:hAnsi="Times New Roman" w:cs="Times New Roman"/>
        </w:rPr>
        <w:t>underpredict</w:t>
      </w:r>
      <w:proofErr w:type="spellEnd"/>
      <w:r w:rsidR="00C05ACF" w:rsidRPr="00C05ACF">
        <w:rPr>
          <w:rFonts w:ascii="Times New Roman" w:hAnsi="Times New Roman" w:cs="Times New Roman"/>
        </w:rPr>
        <w:t xml:space="preserve"> in vivo clearance by a geometric mean ratio of 7.9 fold with a GSD for differences among chemicals of 2.98</w:t>
      </w:r>
      <w:r w:rsidR="007675E5">
        <w:rPr>
          <w:rFonts w:ascii="Times New Roman" w:hAnsi="Times New Roman" w:cs="Times New Roman"/>
        </w:rPr>
        <w:t xml:space="preserve"> (Figure S1)</w:t>
      </w:r>
      <w:r w:rsidR="00C05ACF" w:rsidRPr="00C05ACF">
        <w:rPr>
          <w:rFonts w:ascii="Times New Roman" w:hAnsi="Times New Roman" w:cs="Times New Roman"/>
        </w:rPr>
        <w:t>.  This mean and log variance</w:t>
      </w:r>
      <w:r w:rsidR="00A35A9C">
        <w:rPr>
          <w:rFonts w:ascii="Times New Roman" w:hAnsi="Times New Roman" w:cs="Times New Roman"/>
        </w:rPr>
        <w:t xml:space="preserve"> are </w:t>
      </w:r>
      <w:r w:rsidR="00C05ACF" w:rsidRPr="00C05ACF">
        <w:rPr>
          <w:rFonts w:ascii="Times New Roman" w:hAnsi="Times New Roman" w:cs="Times New Roman"/>
        </w:rPr>
        <w:t xml:space="preserve">used to represent the likely systematic bias and random error uncertainty in the </w:t>
      </w:r>
      <w:proofErr w:type="spellStart"/>
      <w:r w:rsidR="00C05ACF" w:rsidRPr="00C05ACF">
        <w:rPr>
          <w:rFonts w:ascii="Times New Roman" w:hAnsi="Times New Roman" w:cs="Times New Roman"/>
        </w:rPr>
        <w:t>microsome</w:t>
      </w:r>
      <w:proofErr w:type="spellEnd"/>
      <w:r w:rsidR="00C05ACF" w:rsidRPr="00C05ACF">
        <w:rPr>
          <w:rFonts w:ascii="Times New Roman" w:hAnsi="Times New Roman" w:cs="Times New Roman"/>
        </w:rPr>
        <w:t>-based</w:t>
      </w:r>
      <w:r w:rsidR="00C05ACF">
        <w:rPr>
          <w:rFonts w:ascii="Times New Roman" w:hAnsi="Times New Roman" w:cs="Times New Roman"/>
        </w:rPr>
        <w:t xml:space="preserve"> metabolism data.</w:t>
      </w:r>
    </w:p>
    <w:p w:rsidR="00FE0200" w:rsidRDefault="00FE0200" w:rsidP="00FE0200"/>
    <w:p w:rsidR="00FE0200" w:rsidRDefault="00FE0200" w:rsidP="00FE0200">
      <w:pPr>
        <w:pStyle w:val="Body"/>
      </w:pPr>
      <w:r>
        <w:t xml:space="preserve">The </w:t>
      </w:r>
      <w:proofErr w:type="spellStart"/>
      <w:r w:rsidR="007675E5">
        <w:t>microsome</w:t>
      </w:r>
      <w:proofErr w:type="spellEnd"/>
      <w:r w:rsidR="007675E5">
        <w:t xml:space="preserve"> metabolism </w:t>
      </w:r>
      <w:r>
        <w:t xml:space="preserve">data in Table </w:t>
      </w:r>
      <w:r w:rsidR="007675E5">
        <w:t>S5</w:t>
      </w:r>
      <w:r>
        <w:t xml:space="preserve"> were of course collected from liver samples from people not known to be pregnant.  We therefore need to ask whether we should expect systematic changes in liver metabolism rates for women during pregnancy. </w:t>
      </w:r>
      <w:proofErr w:type="spellStart"/>
      <w:r>
        <w:t>Loebstein</w:t>
      </w:r>
      <w:proofErr w:type="spellEnd"/>
      <w:r w:rsidR="004375A8">
        <w:fldChar w:fldCharType="begin"/>
      </w:r>
      <w:r w:rsidR="002B6D02">
        <w:instrText xml:space="preserve"> ADDIN EN.CITE &lt;EndNote&gt;&lt;Cite&gt;&lt;Author&gt;Loebstein&lt;/Author&gt;&lt;Year&gt;1997&lt;/Year&gt;&lt;RecNum&gt;226&lt;/RecNum&gt;&lt;DisplayText&gt;&lt;style face="superscript"&gt;(17)&lt;/style&gt;&lt;/DisplayText&gt;&lt;record&gt;&lt;rec-number&gt;226&lt;/rec-number&gt;&lt;foreign-keys&gt;&lt;key app="EN" db-id="xftvffafmwpe0fedf055pwp7ts95t0ta0v0a"&gt;226&lt;/key&gt;&lt;/foreign-keys&gt;&lt;ref-type name="Journal Article"&gt;17&lt;/ref-type&gt;&lt;contributors&gt;&lt;authors&gt;&lt;author&gt;Loebstein, R, Lalkin, A, Koren, G&lt;/author&gt;&lt;/authors&gt;&lt;/contributors&gt;&lt;titles&gt;&lt;title&gt;Pharmacokinetic changes during pregnancy and their clinical relevance&lt;/title&gt;&lt;secondary-title&gt;Clinical Pharmacokinetics&lt;/secondary-title&gt;&lt;/titles&gt;&lt;periodical&gt;&lt;full-title&gt;Clinical Pharmacokinetics&lt;/full-title&gt;&lt;/periodical&gt;&lt;pages&gt;328-343&lt;/pages&gt;&lt;volume&gt;33&lt;/volume&gt;&lt;section&gt;328&lt;/section&gt;&lt;dates&gt;&lt;year&gt;1997&lt;/year&gt;&lt;/dates&gt;&lt;urls&gt;&lt;/urls&gt;&lt;/record&gt;&lt;/Cite&gt;&lt;/EndNote&gt;</w:instrText>
      </w:r>
      <w:r w:rsidR="004375A8">
        <w:fldChar w:fldCharType="separate"/>
      </w:r>
      <w:r w:rsidR="002B6D02" w:rsidRPr="002B6D02">
        <w:rPr>
          <w:noProof/>
          <w:vertAlign w:val="superscript"/>
        </w:rPr>
        <w:t>(</w:t>
      </w:r>
      <w:hyperlink w:anchor="_ENREF_17" w:tooltip="Loebstein, 1997 #226" w:history="1">
        <w:r w:rsidR="002B6D02" w:rsidRPr="002B6D02">
          <w:rPr>
            <w:noProof/>
            <w:vertAlign w:val="superscript"/>
          </w:rPr>
          <w:t>17</w:t>
        </w:r>
      </w:hyperlink>
      <w:r w:rsidR="002B6D02" w:rsidRPr="002B6D02">
        <w:rPr>
          <w:noProof/>
          <w:vertAlign w:val="superscript"/>
        </w:rPr>
        <w:t>)</w:t>
      </w:r>
      <w:r w:rsidR="004375A8">
        <w:fldChar w:fldCharType="end"/>
      </w:r>
      <w:r>
        <w:t xml:space="preserve"> have compiled a helpful set of comparisons of classical pharmacokinetic parameters in pregnant and </w:t>
      </w:r>
      <w:proofErr w:type="spellStart"/>
      <w:r>
        <w:t>nonpregnant</w:t>
      </w:r>
      <w:proofErr w:type="spellEnd"/>
      <w:r>
        <w:t xml:space="preserve"> women (Table </w:t>
      </w:r>
      <w:r w:rsidR="007675E5">
        <w:t>S6</w:t>
      </w:r>
      <w:r w:rsidR="00707035">
        <w:t>, which corresponds to Table VII in the final technical report</w:t>
      </w:r>
      <w:r>
        <w:t xml:space="preserve">).  Unfortunately the exact times during pregnancy when these data were collected are not documented in their review paper.  Overall, however, these data indicate that half-lives of the studied drugs tend to be somewhat less, and clearance rates 1.93 fold as great in pregnant women, although considerable differences among chemicals/drugs are apparent in the geometric standard deviations shown in the table.  For purposes of our late stage pregnancy models, we assume that </w:t>
      </w:r>
      <w:proofErr w:type="spellStart"/>
      <w:r>
        <w:t>chlorpyrifos</w:t>
      </w:r>
      <w:proofErr w:type="spellEnd"/>
      <w:r>
        <w:t xml:space="preserve"> follows a similar pattern to this limited sample of drugs.  We therefore have adjusted the central estimate liver metabolism rates for </w:t>
      </w:r>
      <w:proofErr w:type="spellStart"/>
      <w:r>
        <w:t>chlorpyrifos</w:t>
      </w:r>
      <w:proofErr w:type="spellEnd"/>
      <w:r>
        <w:t xml:space="preserve"> upward by 1.93 fold from the rates derived from the in vitro observations for adult women in Table </w:t>
      </w:r>
      <w:r w:rsidR="00707035">
        <w:t>S5</w:t>
      </w:r>
      <w:r>
        <w:t xml:space="preserve">.   For uncertainty analysis, we assess differences that would be produced by assuming this adjustment is larger or smaller than the central estimate by an amount corresponding to ± 1 standard deviation of the data in Table </w:t>
      </w:r>
      <w:r w:rsidR="00707035">
        <w:t>S6</w:t>
      </w:r>
      <w:r>
        <w:t xml:space="preserve">—approximately 0.85 to 4.39 times the liver clearance values derived directly from the calibration for </w:t>
      </w:r>
      <w:proofErr w:type="spellStart"/>
      <w:r>
        <w:t>nonpregnant</w:t>
      </w:r>
      <w:proofErr w:type="spellEnd"/>
      <w:r>
        <w:t xml:space="preserve"> women. </w:t>
      </w:r>
    </w:p>
    <w:p w:rsidR="00FE0200" w:rsidRDefault="00FE0200" w:rsidP="00FE0200">
      <w:pPr>
        <w:rPr>
          <w:rFonts w:ascii="Times New Roman" w:hAnsi="Times New Roman"/>
          <w:b/>
        </w:rPr>
      </w:pPr>
      <w:r>
        <w:rPr>
          <w:b/>
        </w:rPr>
        <w:br w:type="page"/>
      </w:r>
    </w:p>
    <w:p w:rsidR="00FE0200" w:rsidRDefault="00FE0200" w:rsidP="00FE0200">
      <w:pPr>
        <w:rPr>
          <w:rFonts w:ascii="Times New Roman" w:hAnsi="Times New Roman"/>
          <w:b/>
        </w:rPr>
      </w:pPr>
    </w:p>
    <w:p w:rsidR="00FE0200" w:rsidRDefault="00FE0200" w:rsidP="00FE0200">
      <w:pPr>
        <w:rPr>
          <w:rFonts w:ascii="Times New Roman" w:hAnsi="Times New Roman" w:cs="Times New Roman"/>
          <w:b/>
        </w:rPr>
      </w:pPr>
      <w:r>
        <w:rPr>
          <w:noProof/>
          <w:lang w:eastAsia="en-US"/>
        </w:rPr>
        <w:drawing>
          <wp:inline distT="0" distB="0" distL="0" distR="0">
            <wp:extent cx="4965759" cy="3605107"/>
            <wp:effectExtent l="0" t="0" r="0" b="190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5"/>
                    <a:stretch>
                      <a:fillRect/>
                    </a:stretch>
                  </pic:blipFill>
                  <pic:spPr>
                    <a:xfrm>
                      <a:off x="0" y="0"/>
                      <a:ext cx="4967912" cy="3606670"/>
                    </a:xfrm>
                    <a:prstGeom prst="rect">
                      <a:avLst/>
                    </a:prstGeom>
                  </pic:spPr>
                </pic:pic>
              </a:graphicData>
            </a:graphic>
          </wp:inline>
        </w:drawing>
      </w:r>
    </w:p>
    <w:p w:rsidR="00FE0200" w:rsidRDefault="00FE0200" w:rsidP="00FE0200">
      <w:pPr>
        <w:rPr>
          <w:rFonts w:ascii="Times New Roman" w:hAnsi="Times New Roman" w:cs="Times New Roman"/>
          <w:b/>
        </w:rPr>
      </w:pPr>
    </w:p>
    <w:p w:rsidR="00FE0200" w:rsidRDefault="00FE0200" w:rsidP="00FE0200">
      <w:pPr>
        <w:rPr>
          <w:rFonts w:ascii="Times New Roman" w:hAnsi="Times New Roman" w:cs="Times New Roman"/>
        </w:rPr>
      </w:pPr>
      <w:r>
        <w:rPr>
          <w:rFonts w:ascii="Times New Roman" w:hAnsi="Times New Roman" w:cs="Times New Roman"/>
        </w:rPr>
        <w:t>Regression fit:</w:t>
      </w:r>
    </w:p>
    <w:p w:rsidR="00FE0200" w:rsidRDefault="00FE0200" w:rsidP="00FE0200">
      <w:pPr>
        <w:rPr>
          <w:rFonts w:ascii="Times New Roman" w:hAnsi="Times New Roman" w:cs="Times New Roman"/>
        </w:rPr>
      </w:pPr>
    </w:p>
    <w:p w:rsidR="00FE0200" w:rsidRDefault="00FE0200" w:rsidP="00FE0200">
      <w:pPr>
        <w:rPr>
          <w:rFonts w:ascii="Times New Roman" w:hAnsi="Times New Roman" w:cs="Times New Roman"/>
        </w:rPr>
      </w:pPr>
      <w:proofErr w:type="gramStart"/>
      <w:r>
        <w:rPr>
          <w:rFonts w:ascii="Times New Roman" w:hAnsi="Times New Roman" w:cs="Times New Roman"/>
        </w:rPr>
        <w:t>Log(</w:t>
      </w:r>
      <w:proofErr w:type="gramEnd"/>
      <w:r>
        <w:rPr>
          <w:rFonts w:ascii="Times New Roman" w:hAnsi="Times New Roman" w:cs="Times New Roman"/>
        </w:rPr>
        <w:t>Observed Clearance) = 0.952 (SE = .090) predicted clearance + 0.942 (SE = .069)</w:t>
      </w:r>
    </w:p>
    <w:p w:rsidR="00FE0200" w:rsidRDefault="00FE0200" w:rsidP="00FE0200">
      <w:pPr>
        <w:rPr>
          <w:rFonts w:ascii="Times New Roman" w:hAnsi="Times New Roman" w:cs="Times New Roman"/>
        </w:rPr>
      </w:pPr>
      <w:r>
        <w:rPr>
          <w:rFonts w:ascii="Times New Roman" w:hAnsi="Times New Roman" w:cs="Times New Roman"/>
        </w:rPr>
        <w:t>R</w:t>
      </w:r>
      <w:r>
        <w:rPr>
          <w:rFonts w:ascii="Times New Roman" w:hAnsi="Times New Roman" w:cs="Times New Roman"/>
          <w:sz w:val="28"/>
          <w:szCs w:val="28"/>
          <w:vertAlign w:val="superscript"/>
        </w:rPr>
        <w:t>2</w:t>
      </w:r>
      <w:r>
        <w:rPr>
          <w:rFonts w:ascii="Times New Roman" w:hAnsi="Times New Roman" w:cs="Times New Roman"/>
        </w:rPr>
        <w:t xml:space="preserve"> = 0.788</w:t>
      </w:r>
    </w:p>
    <w:p w:rsidR="00FE0200" w:rsidRDefault="00FE0200" w:rsidP="00FE0200">
      <w:pPr>
        <w:rPr>
          <w:rFonts w:ascii="Times New Roman" w:hAnsi="Times New Roman" w:cs="Times New Roman"/>
        </w:rPr>
      </w:pPr>
      <w:r>
        <w:rPr>
          <w:rFonts w:ascii="Times New Roman" w:hAnsi="Times New Roman" w:cs="Times New Roman"/>
        </w:rPr>
        <w:t>.952 coefficient of predicted clearance is close to the theoretically expected 1.0</w:t>
      </w:r>
    </w:p>
    <w:p w:rsidR="00FE0200" w:rsidRDefault="00FE0200" w:rsidP="00FE0200">
      <w:pPr>
        <w:rPr>
          <w:rFonts w:ascii="Times New Roman" w:hAnsi="Times New Roman" w:cs="Times New Roman"/>
        </w:rPr>
      </w:pPr>
      <w:r>
        <w:rPr>
          <w:rFonts w:ascii="Times New Roman" w:hAnsi="Times New Roman" w:cs="Times New Roman"/>
        </w:rPr>
        <w:t>Root mean square error (standard deviation of the points from the line) = 0.476</w:t>
      </w:r>
    </w:p>
    <w:p w:rsidR="00FE0200" w:rsidRDefault="00FE0200" w:rsidP="00FE0200">
      <w:pPr>
        <w:rPr>
          <w:rFonts w:ascii="Times New Roman" w:hAnsi="Times New Roman" w:cs="Times New Roman"/>
        </w:rPr>
      </w:pPr>
    </w:p>
    <w:p w:rsidR="00FE0200" w:rsidRPr="0033090C" w:rsidRDefault="00FE0200" w:rsidP="00FE0200">
      <w:pPr>
        <w:rPr>
          <w:rFonts w:ascii="Times New Roman" w:hAnsi="Times New Roman" w:cs="Times New Roman"/>
        </w:rPr>
      </w:pPr>
      <w:r>
        <w:rPr>
          <w:rFonts w:ascii="Times New Roman" w:hAnsi="Times New Roman" w:cs="Times New Roman"/>
        </w:rPr>
        <w:t xml:space="preserve">Geometric mean ratio:  7.94 (used for </w:t>
      </w:r>
      <w:proofErr w:type="spellStart"/>
      <w:r>
        <w:rPr>
          <w:rFonts w:ascii="Times New Roman" w:hAnsi="Times New Roman" w:cs="Times New Roman"/>
        </w:rPr>
        <w:t>gmean</w:t>
      </w:r>
      <w:proofErr w:type="spellEnd"/>
      <w:r>
        <w:rPr>
          <w:rFonts w:ascii="Times New Roman" w:hAnsi="Times New Roman" w:cs="Times New Roman"/>
        </w:rPr>
        <w:t xml:space="preserve"> bias correction); GSD</w:t>
      </w:r>
      <w:r w:rsidR="007675E5">
        <w:rPr>
          <w:rFonts w:ascii="Times New Roman" w:hAnsi="Times New Roman" w:cs="Times New Roman"/>
        </w:rPr>
        <w:t xml:space="preserve"> for diversity of ratio</w:t>
      </w:r>
      <w:r>
        <w:rPr>
          <w:rFonts w:ascii="Times New Roman" w:hAnsi="Times New Roman" w:cs="Times New Roman"/>
        </w:rPr>
        <w:t xml:space="preserve">s among chemicals: 2.98 (used for uncertainty in </w:t>
      </w:r>
      <w:proofErr w:type="spellStart"/>
      <w:r>
        <w:rPr>
          <w:rFonts w:ascii="Times New Roman" w:hAnsi="Times New Roman" w:cs="Times New Roman"/>
        </w:rPr>
        <w:t>gmean</w:t>
      </w:r>
      <w:proofErr w:type="spellEnd"/>
      <w:r>
        <w:rPr>
          <w:rFonts w:ascii="Times New Roman" w:hAnsi="Times New Roman" w:cs="Times New Roman"/>
        </w:rPr>
        <w:t xml:space="preserve"> bias correction</w:t>
      </w:r>
      <w:r w:rsidR="007675E5">
        <w:rPr>
          <w:rFonts w:ascii="Times New Roman" w:hAnsi="Times New Roman" w:cs="Times New Roman"/>
        </w:rPr>
        <w:t>)</w:t>
      </w:r>
    </w:p>
    <w:p w:rsidR="00FE0200" w:rsidRDefault="00FE0200" w:rsidP="00FE0200">
      <w:pPr>
        <w:rPr>
          <w:rFonts w:ascii="Times New Roman" w:hAnsi="Times New Roman" w:cs="Times New Roman"/>
          <w:b/>
        </w:rPr>
      </w:pPr>
    </w:p>
    <w:p w:rsidR="00FE0200" w:rsidRDefault="00FE0200" w:rsidP="00FE0200">
      <w:r>
        <w:rPr>
          <w:rFonts w:ascii="Times New Roman" w:hAnsi="Times New Roman" w:cs="Times New Roman"/>
          <w:b/>
        </w:rPr>
        <w:t>Fig. 2</w:t>
      </w:r>
      <w:r w:rsidRPr="00663C29">
        <w:rPr>
          <w:rFonts w:ascii="Times New Roman" w:hAnsi="Times New Roman" w:cs="Times New Roman"/>
          <w:b/>
        </w:rPr>
        <w:t xml:space="preserve">. </w:t>
      </w:r>
      <w:r w:rsidRPr="00663C29">
        <w:rPr>
          <w:rFonts w:ascii="Times New Roman" w:hAnsi="Times New Roman" w:cs="Times New Roman"/>
        </w:rPr>
        <w:t>Lognormal</w:t>
      </w:r>
      <w:r>
        <w:rPr>
          <w:rFonts w:ascii="Times New Roman" w:hAnsi="Times New Roman" w:cs="Times New Roman"/>
        </w:rPr>
        <w:t xml:space="preserve"> Plot of Observed </w:t>
      </w:r>
      <w:proofErr w:type="spellStart"/>
      <w:r>
        <w:rPr>
          <w:rFonts w:ascii="Times New Roman" w:hAnsi="Times New Roman" w:cs="Times New Roman"/>
        </w:rPr>
        <w:t>vs</w:t>
      </w:r>
      <w:proofErr w:type="spellEnd"/>
      <w:r>
        <w:rPr>
          <w:rFonts w:ascii="Times New Roman" w:hAnsi="Times New Roman" w:cs="Times New Roman"/>
        </w:rPr>
        <w:t xml:space="preserve"> Expected Clearance Rates from Human </w:t>
      </w:r>
      <w:proofErr w:type="spellStart"/>
      <w:r>
        <w:rPr>
          <w:rFonts w:ascii="Times New Roman" w:hAnsi="Times New Roman" w:cs="Times New Roman"/>
        </w:rPr>
        <w:t>Microsome</w:t>
      </w:r>
      <w:proofErr w:type="spellEnd"/>
      <w:r>
        <w:rPr>
          <w:rFonts w:ascii="Times New Roman" w:hAnsi="Times New Roman" w:cs="Times New Roman"/>
        </w:rPr>
        <w:t xml:space="preserve"> Measurements (ml Blood/Kg Body Weight-min) Based on a Physiologically-Based Scaling Factor (856 mg microsomal protein/kg body weight)</w:t>
      </w:r>
      <w:r w:rsidR="007675E5">
        <w:rPr>
          <w:rFonts w:ascii="Times New Roman" w:hAnsi="Times New Roman" w:cs="Times New Roman"/>
        </w:rPr>
        <w:t xml:space="preserve"> After Application of a Geometric Mean Bias correction of 7.94, Based on Data of Ito and Houston</w:t>
      </w:r>
      <w:r w:rsidR="007675E5" w:rsidRPr="00BF6691">
        <w:t xml:space="preserve"> </w:t>
      </w:r>
      <w:r w:rsidR="007675E5">
        <w:rPr>
          <w:sz w:val="20"/>
          <w:szCs w:val="20"/>
        </w:rPr>
        <w:t>(2005)</w:t>
      </w:r>
      <w:r w:rsidR="007675E5" w:rsidRPr="00383FF0">
        <w:t xml:space="preserve"> </w:t>
      </w:r>
      <w:r w:rsidR="004375A8">
        <w:rPr>
          <w:sz w:val="20"/>
          <w:szCs w:val="20"/>
        </w:rPr>
        <w:fldChar w:fldCharType="begin"/>
      </w:r>
      <w:r w:rsidR="002B6D02">
        <w:rPr>
          <w:sz w:val="20"/>
          <w:szCs w:val="20"/>
        </w:rPr>
        <w:instrText xml:space="preserve"> ADDIN EN.CITE &lt;EndNote&gt;&lt;Cite&gt;&lt;Author&gt;Ito&lt;/Author&gt;&lt;Year&gt;2005&lt;/Year&gt;&lt;RecNum&gt;104&lt;/RecNum&gt;&lt;DisplayText&gt;&lt;style face="superscript"&gt;(16)&lt;/style&gt;&lt;/DisplayText&gt;&lt;record&gt;&lt;rec-number&gt;104&lt;/rec-number&gt;&lt;foreign-keys&gt;&lt;key app="EN" db-id="0pfddxea8wsvd7ea90uxwfr3evst259x2f0f"&gt;104&lt;/key&gt;&lt;/foreign-keys&gt;&lt;ref-type name="Journal Article"&gt;17&lt;/ref-type&gt;&lt;contributors&gt;&lt;authors&gt;&lt;author&gt;Ito, K, Houston, JB&lt;/author&gt;&lt;/authors&gt;&lt;/contributors&gt;&lt;titles&gt;&lt;title&gt;Prediction of human drug clearance from in vitro and preclinical data using physiologically based and empirical approaches&lt;/title&gt;&lt;secondary-title&gt;Pharmaceutical research&lt;/secondary-title&gt;&lt;/titles&gt;&lt;periodical&gt;&lt;full-title&gt;Pharmaceutical research&lt;/full-title&gt;&lt;abbr-1&gt;Pharm Res&lt;/abbr-1&gt;&lt;/periodical&gt;&lt;pages&gt;103-112&lt;/pages&gt;&lt;volume&gt;22&lt;/volume&gt;&lt;number&gt;1&lt;/number&gt;&lt;dates&gt;&lt;year&gt;2005&lt;/year&gt;&lt;/dates&gt;&lt;urls&gt;&lt;/urls&gt;&lt;/record&gt;&lt;/Cite&gt;&lt;/EndNote&gt;</w:instrText>
      </w:r>
      <w:r w:rsidR="004375A8">
        <w:rPr>
          <w:sz w:val="20"/>
          <w:szCs w:val="20"/>
        </w:rPr>
        <w:fldChar w:fldCharType="separate"/>
      </w:r>
      <w:r w:rsidR="002B6D02" w:rsidRPr="002B6D02">
        <w:rPr>
          <w:noProof/>
          <w:sz w:val="20"/>
          <w:szCs w:val="20"/>
          <w:vertAlign w:val="superscript"/>
        </w:rPr>
        <w:t>(</w:t>
      </w:r>
      <w:hyperlink w:anchor="_ENREF_16" w:tooltip="Ito, 2005 #104" w:history="1">
        <w:r w:rsidR="002B6D02" w:rsidRPr="002B6D02">
          <w:rPr>
            <w:noProof/>
            <w:sz w:val="20"/>
            <w:szCs w:val="20"/>
            <w:vertAlign w:val="superscript"/>
          </w:rPr>
          <w:t>16</w:t>
        </w:r>
      </w:hyperlink>
      <w:r w:rsidR="002B6D02" w:rsidRPr="002B6D02">
        <w:rPr>
          <w:noProof/>
          <w:sz w:val="20"/>
          <w:szCs w:val="20"/>
          <w:vertAlign w:val="superscript"/>
        </w:rPr>
        <w:t>)</w:t>
      </w:r>
      <w:r w:rsidR="004375A8">
        <w:rPr>
          <w:sz w:val="20"/>
          <w:szCs w:val="20"/>
        </w:rPr>
        <w:fldChar w:fldCharType="end"/>
      </w:r>
      <w:r>
        <w:rPr>
          <w:rFonts w:ascii="Times New Roman" w:hAnsi="Times New Roman" w:cs="Times New Roman"/>
        </w:rPr>
        <w:t>.  N = 52</w:t>
      </w:r>
      <w:r w:rsidR="007675E5">
        <w:rPr>
          <w:rFonts w:ascii="Times New Roman" w:hAnsi="Times New Roman" w:cs="Times New Roman"/>
        </w:rPr>
        <w:t>.</w:t>
      </w:r>
    </w:p>
    <w:p w:rsidR="00FE0200" w:rsidRDefault="00FE0200" w:rsidP="00FE0200"/>
    <w:p w:rsidR="00707035" w:rsidRDefault="00707035" w:rsidP="00707035">
      <w:pPr>
        <w:pStyle w:val="Body"/>
      </w:pPr>
    </w:p>
    <w:p w:rsidR="00707035" w:rsidRDefault="00707035" w:rsidP="00707035">
      <w:pPr>
        <w:pStyle w:val="Body"/>
        <w:pBdr>
          <w:bottom w:val="single" w:sz="24" w:space="1" w:color="auto"/>
        </w:pBdr>
        <w:jc w:val="center"/>
        <w:rPr>
          <w:b/>
        </w:rPr>
        <w:sectPr w:rsidR="00707035" w:rsidSect="00707035">
          <w:pgSz w:w="12480" w:h="16160"/>
          <w:pgMar w:top="1440" w:right="1440" w:bottom="1440" w:left="1440" w:header="720" w:footer="720" w:gutter="0"/>
          <w:cols w:space="720"/>
          <w:titlePg/>
        </w:sectPr>
      </w:pPr>
    </w:p>
    <w:p w:rsidR="00707035" w:rsidRPr="000821BB" w:rsidRDefault="00707035" w:rsidP="00707035">
      <w:pPr>
        <w:pBdr>
          <w:bottom w:val="single" w:sz="24" w:space="1" w:color="auto"/>
        </w:pBdr>
        <w:jc w:val="center"/>
        <w:rPr>
          <w:rFonts w:ascii="Times New Roman" w:hAnsi="Times New Roman"/>
        </w:rPr>
      </w:pPr>
      <w:r>
        <w:rPr>
          <w:b/>
        </w:rPr>
        <w:lastRenderedPageBreak/>
        <w:t>Table S6 (Corresponds to Table VII in the Final Technical Report)</w:t>
      </w:r>
      <w:r>
        <w:rPr>
          <w:rFonts w:ascii="Times New Roman" w:hAnsi="Times New Roman"/>
        </w:rPr>
        <w:t xml:space="preserve">. </w:t>
      </w:r>
      <w:r w:rsidRPr="000821BB">
        <w:t xml:space="preserve">Comparisons of Classical Pharmacokinetic Parameters for Selected Drugs Between Pregnant and </w:t>
      </w:r>
      <w:proofErr w:type="spellStart"/>
      <w:r w:rsidRPr="000821BB">
        <w:t>Nonpregnant</w:t>
      </w:r>
      <w:proofErr w:type="spellEnd"/>
      <w:r w:rsidRPr="000821BB">
        <w:t xml:space="preserve"> Women</w:t>
      </w:r>
    </w:p>
    <w:p w:rsidR="00707035" w:rsidRPr="000821BB" w:rsidRDefault="00707035" w:rsidP="00707035">
      <w:pPr>
        <w:spacing w:before="240"/>
      </w:pPr>
      <w:r w:rsidRPr="000821BB">
        <w:t xml:space="preserve">                             Elimination Half-Life (minutes)</w:t>
      </w:r>
      <w:r w:rsidRPr="000821BB">
        <w:tab/>
        <w:t xml:space="preserve">      Volume of Distribution (Liters)              Total Clearance (ml/minute)</w:t>
      </w:r>
    </w:p>
    <w:tbl>
      <w:tblPr>
        <w:tblW w:w="12796" w:type="dxa"/>
        <w:tblCellMar>
          <w:left w:w="0" w:type="dxa"/>
          <w:right w:w="0" w:type="dxa"/>
        </w:tblCellMar>
        <w:tblLook w:val="0000"/>
      </w:tblPr>
      <w:tblGrid>
        <w:gridCol w:w="1637"/>
        <w:gridCol w:w="900"/>
        <w:gridCol w:w="1165"/>
        <w:gridCol w:w="1620"/>
        <w:gridCol w:w="900"/>
        <w:gridCol w:w="1247"/>
        <w:gridCol w:w="1578"/>
        <w:gridCol w:w="1061"/>
        <w:gridCol w:w="1133"/>
        <w:gridCol w:w="1555"/>
      </w:tblGrid>
      <w:tr w:rsidR="00707035" w:rsidTr="00707035">
        <w:trPr>
          <w:trHeight w:val="20"/>
        </w:trPr>
        <w:tc>
          <w:tcPr>
            <w:tcW w:w="1636" w:type="dxa"/>
            <w:tcBorders>
              <w:bottom w:val="single" w:sz="6" w:space="0" w:color="auto"/>
            </w:tcBorders>
            <w:tcMar>
              <w:top w:w="16" w:type="dxa"/>
              <w:left w:w="16" w:type="dxa"/>
              <w:bottom w:w="0" w:type="dxa"/>
              <w:right w:w="16" w:type="dxa"/>
            </w:tcMar>
            <w:vAlign w:val="bottom"/>
          </w:tcPr>
          <w:p w:rsidR="00707035" w:rsidRDefault="00707035" w:rsidP="00707035">
            <w:pPr>
              <w:rPr>
                <w:sz w:val="20"/>
              </w:rPr>
            </w:pPr>
            <w:r>
              <w:rPr>
                <w:sz w:val="20"/>
              </w:rPr>
              <w:t>Drug</w:t>
            </w:r>
          </w:p>
        </w:tc>
        <w:tc>
          <w:tcPr>
            <w:tcW w:w="900" w:type="dxa"/>
            <w:tcBorders>
              <w:bottom w:val="single" w:sz="6" w:space="0" w:color="auto"/>
            </w:tcBorders>
            <w:tcMar>
              <w:top w:w="16" w:type="dxa"/>
              <w:left w:w="16" w:type="dxa"/>
              <w:bottom w:w="0" w:type="dxa"/>
              <w:right w:w="16" w:type="dxa"/>
            </w:tcMar>
            <w:vAlign w:val="bottom"/>
          </w:tcPr>
          <w:p w:rsidR="00707035" w:rsidRDefault="00707035" w:rsidP="00707035">
            <w:pPr>
              <w:jc w:val="center"/>
              <w:rPr>
                <w:sz w:val="20"/>
              </w:rPr>
            </w:pPr>
            <w:r>
              <w:rPr>
                <w:sz w:val="20"/>
              </w:rPr>
              <w:t>Pregnant</w:t>
            </w:r>
          </w:p>
        </w:tc>
        <w:tc>
          <w:tcPr>
            <w:tcW w:w="1080" w:type="dxa"/>
            <w:tcBorders>
              <w:bottom w:val="single" w:sz="6" w:space="0" w:color="auto"/>
            </w:tcBorders>
            <w:tcMar>
              <w:top w:w="16" w:type="dxa"/>
              <w:left w:w="16" w:type="dxa"/>
              <w:bottom w:w="0" w:type="dxa"/>
              <w:right w:w="16" w:type="dxa"/>
            </w:tcMar>
            <w:vAlign w:val="bottom"/>
          </w:tcPr>
          <w:p w:rsidR="00707035" w:rsidRDefault="00707035" w:rsidP="00707035">
            <w:pPr>
              <w:jc w:val="center"/>
              <w:rPr>
                <w:sz w:val="20"/>
              </w:rPr>
            </w:pPr>
            <w:proofErr w:type="spellStart"/>
            <w:r>
              <w:rPr>
                <w:sz w:val="20"/>
              </w:rPr>
              <w:t>Nonpregnant</w:t>
            </w:r>
            <w:proofErr w:type="spellEnd"/>
          </w:p>
        </w:tc>
        <w:tc>
          <w:tcPr>
            <w:tcW w:w="1620" w:type="dxa"/>
            <w:tcBorders>
              <w:bottom w:val="single" w:sz="6" w:space="0" w:color="auto"/>
            </w:tcBorders>
            <w:tcMar>
              <w:top w:w="16" w:type="dxa"/>
              <w:left w:w="16" w:type="dxa"/>
              <w:bottom w:w="0" w:type="dxa"/>
              <w:right w:w="16" w:type="dxa"/>
            </w:tcMar>
            <w:vAlign w:val="bottom"/>
          </w:tcPr>
          <w:p w:rsidR="00707035" w:rsidRDefault="00707035" w:rsidP="00707035">
            <w:pPr>
              <w:jc w:val="center"/>
              <w:rPr>
                <w:sz w:val="20"/>
              </w:rPr>
            </w:pPr>
            <w:proofErr w:type="spellStart"/>
            <w:r>
              <w:rPr>
                <w:sz w:val="20"/>
              </w:rPr>
              <w:t>Preg</w:t>
            </w:r>
            <w:proofErr w:type="spellEnd"/>
            <w:r>
              <w:rPr>
                <w:sz w:val="20"/>
              </w:rPr>
              <w:t>/</w:t>
            </w:r>
            <w:proofErr w:type="spellStart"/>
            <w:r>
              <w:rPr>
                <w:sz w:val="20"/>
              </w:rPr>
              <w:t>nonpreg</w:t>
            </w:r>
            <w:proofErr w:type="spellEnd"/>
            <w:r>
              <w:rPr>
                <w:sz w:val="20"/>
              </w:rPr>
              <w:t xml:space="preserve"> ratio</w:t>
            </w:r>
          </w:p>
        </w:tc>
        <w:tc>
          <w:tcPr>
            <w:tcW w:w="900" w:type="dxa"/>
            <w:tcBorders>
              <w:bottom w:val="single" w:sz="6" w:space="0" w:color="auto"/>
            </w:tcBorders>
            <w:tcMar>
              <w:top w:w="16" w:type="dxa"/>
              <w:left w:w="16" w:type="dxa"/>
              <w:bottom w:w="0" w:type="dxa"/>
              <w:right w:w="16" w:type="dxa"/>
            </w:tcMar>
            <w:vAlign w:val="bottom"/>
          </w:tcPr>
          <w:p w:rsidR="00707035" w:rsidRDefault="00707035" w:rsidP="00707035">
            <w:pPr>
              <w:jc w:val="center"/>
              <w:rPr>
                <w:sz w:val="20"/>
              </w:rPr>
            </w:pPr>
            <w:r>
              <w:rPr>
                <w:sz w:val="20"/>
              </w:rPr>
              <w:t>Pregnant</w:t>
            </w:r>
          </w:p>
        </w:tc>
        <w:tc>
          <w:tcPr>
            <w:tcW w:w="1260" w:type="dxa"/>
            <w:tcBorders>
              <w:bottom w:val="single" w:sz="6" w:space="0" w:color="auto"/>
            </w:tcBorders>
            <w:vAlign w:val="bottom"/>
          </w:tcPr>
          <w:p w:rsidR="00707035" w:rsidRDefault="00707035" w:rsidP="00707035">
            <w:pPr>
              <w:jc w:val="center"/>
              <w:rPr>
                <w:sz w:val="20"/>
              </w:rPr>
            </w:pPr>
            <w:proofErr w:type="spellStart"/>
            <w:r>
              <w:rPr>
                <w:sz w:val="20"/>
              </w:rPr>
              <w:t>Nonpregnant</w:t>
            </w:r>
            <w:proofErr w:type="spellEnd"/>
          </w:p>
        </w:tc>
        <w:tc>
          <w:tcPr>
            <w:tcW w:w="1620" w:type="dxa"/>
            <w:tcBorders>
              <w:bottom w:val="single" w:sz="6" w:space="0" w:color="auto"/>
            </w:tcBorders>
            <w:vAlign w:val="bottom"/>
          </w:tcPr>
          <w:p w:rsidR="00707035" w:rsidRDefault="00707035" w:rsidP="00707035">
            <w:pPr>
              <w:jc w:val="center"/>
              <w:rPr>
                <w:sz w:val="20"/>
              </w:rPr>
            </w:pPr>
            <w:proofErr w:type="spellStart"/>
            <w:r>
              <w:rPr>
                <w:sz w:val="20"/>
              </w:rPr>
              <w:t>Preg</w:t>
            </w:r>
            <w:proofErr w:type="spellEnd"/>
            <w:r>
              <w:rPr>
                <w:sz w:val="20"/>
              </w:rPr>
              <w:t>/</w:t>
            </w:r>
            <w:proofErr w:type="spellStart"/>
            <w:r>
              <w:rPr>
                <w:sz w:val="20"/>
              </w:rPr>
              <w:t>nonpreg</w:t>
            </w:r>
            <w:proofErr w:type="spellEnd"/>
            <w:r>
              <w:rPr>
                <w:sz w:val="20"/>
              </w:rPr>
              <w:t xml:space="preserve"> ratio</w:t>
            </w:r>
          </w:p>
        </w:tc>
        <w:tc>
          <w:tcPr>
            <w:tcW w:w="1093" w:type="dxa"/>
            <w:tcBorders>
              <w:bottom w:val="single" w:sz="6" w:space="0" w:color="auto"/>
            </w:tcBorders>
            <w:vAlign w:val="bottom"/>
          </w:tcPr>
          <w:p w:rsidR="00707035" w:rsidRDefault="00707035" w:rsidP="00707035">
            <w:pPr>
              <w:jc w:val="center"/>
              <w:rPr>
                <w:sz w:val="20"/>
              </w:rPr>
            </w:pPr>
            <w:r>
              <w:rPr>
                <w:sz w:val="20"/>
              </w:rPr>
              <w:t>Pregnant</w:t>
            </w:r>
          </w:p>
        </w:tc>
        <w:tc>
          <w:tcPr>
            <w:tcW w:w="1093" w:type="dxa"/>
            <w:tcBorders>
              <w:bottom w:val="single" w:sz="6" w:space="0" w:color="auto"/>
            </w:tcBorders>
            <w:vAlign w:val="bottom"/>
          </w:tcPr>
          <w:p w:rsidR="00707035" w:rsidRDefault="00707035" w:rsidP="00707035">
            <w:pPr>
              <w:jc w:val="center"/>
              <w:rPr>
                <w:sz w:val="20"/>
              </w:rPr>
            </w:pPr>
            <w:proofErr w:type="spellStart"/>
            <w:r>
              <w:rPr>
                <w:sz w:val="20"/>
              </w:rPr>
              <w:t>Nonpregnant</w:t>
            </w:r>
            <w:proofErr w:type="spellEnd"/>
          </w:p>
        </w:tc>
        <w:tc>
          <w:tcPr>
            <w:tcW w:w="1594" w:type="dxa"/>
            <w:tcBorders>
              <w:bottom w:val="single" w:sz="6" w:space="0" w:color="auto"/>
            </w:tcBorders>
            <w:vAlign w:val="bottom"/>
          </w:tcPr>
          <w:p w:rsidR="00707035" w:rsidRDefault="00707035" w:rsidP="00707035">
            <w:pPr>
              <w:jc w:val="center"/>
              <w:rPr>
                <w:sz w:val="20"/>
              </w:rPr>
            </w:pPr>
            <w:proofErr w:type="spellStart"/>
            <w:r>
              <w:rPr>
                <w:sz w:val="20"/>
              </w:rPr>
              <w:t>Preg</w:t>
            </w:r>
            <w:proofErr w:type="spellEnd"/>
            <w:r>
              <w:rPr>
                <w:sz w:val="20"/>
              </w:rPr>
              <w:t>/</w:t>
            </w:r>
            <w:proofErr w:type="spellStart"/>
            <w:r>
              <w:rPr>
                <w:sz w:val="20"/>
              </w:rPr>
              <w:t>nonpreg</w:t>
            </w:r>
            <w:proofErr w:type="spellEnd"/>
            <w:r>
              <w:rPr>
                <w:sz w:val="20"/>
              </w:rPr>
              <w:t xml:space="preserve"> ratio</w:t>
            </w:r>
          </w:p>
        </w:tc>
      </w:tr>
      <w:tr w:rsidR="00707035" w:rsidTr="00707035">
        <w:trPr>
          <w:trHeight w:val="20"/>
        </w:trPr>
        <w:tc>
          <w:tcPr>
            <w:tcW w:w="1636" w:type="dxa"/>
            <w:tcBorders>
              <w:top w:val="single" w:sz="6" w:space="0" w:color="auto"/>
            </w:tcBorders>
            <w:noWrap/>
            <w:tcMar>
              <w:top w:w="16" w:type="dxa"/>
              <w:left w:w="16" w:type="dxa"/>
              <w:bottom w:w="0" w:type="dxa"/>
              <w:right w:w="16" w:type="dxa"/>
            </w:tcMar>
            <w:vAlign w:val="bottom"/>
          </w:tcPr>
          <w:p w:rsidR="00707035" w:rsidRDefault="00707035" w:rsidP="00707035">
            <w:pPr>
              <w:rPr>
                <w:sz w:val="20"/>
              </w:rPr>
            </w:pPr>
            <w:r>
              <w:rPr>
                <w:sz w:val="20"/>
              </w:rPr>
              <w:t>Ampicillin</w:t>
            </w:r>
          </w:p>
        </w:tc>
        <w:tc>
          <w:tcPr>
            <w:tcW w:w="900" w:type="dxa"/>
            <w:tcBorders>
              <w:top w:val="single" w:sz="6" w:space="0" w:color="auto"/>
            </w:tcBorders>
            <w:noWrap/>
            <w:tcMar>
              <w:top w:w="16" w:type="dxa"/>
              <w:left w:w="16" w:type="dxa"/>
              <w:bottom w:w="0" w:type="dxa"/>
              <w:right w:w="16" w:type="dxa"/>
            </w:tcMar>
            <w:vAlign w:val="bottom"/>
          </w:tcPr>
          <w:p w:rsidR="00707035" w:rsidRDefault="00707035" w:rsidP="00707035">
            <w:pPr>
              <w:jc w:val="center"/>
              <w:rPr>
                <w:sz w:val="20"/>
              </w:rPr>
            </w:pPr>
            <w:r>
              <w:rPr>
                <w:sz w:val="20"/>
              </w:rPr>
              <w:t>52.4</w:t>
            </w:r>
          </w:p>
        </w:tc>
        <w:tc>
          <w:tcPr>
            <w:tcW w:w="1080" w:type="dxa"/>
            <w:tcBorders>
              <w:top w:val="single" w:sz="6" w:space="0" w:color="auto"/>
            </w:tcBorders>
            <w:noWrap/>
            <w:tcMar>
              <w:top w:w="16" w:type="dxa"/>
              <w:left w:w="16" w:type="dxa"/>
              <w:bottom w:w="0" w:type="dxa"/>
              <w:right w:w="16" w:type="dxa"/>
            </w:tcMar>
            <w:vAlign w:val="bottom"/>
          </w:tcPr>
          <w:p w:rsidR="00707035" w:rsidRDefault="00707035" w:rsidP="00707035">
            <w:pPr>
              <w:jc w:val="center"/>
              <w:rPr>
                <w:sz w:val="20"/>
              </w:rPr>
            </w:pPr>
            <w:r>
              <w:rPr>
                <w:sz w:val="20"/>
              </w:rPr>
              <w:t>69.6</w:t>
            </w:r>
          </w:p>
        </w:tc>
        <w:tc>
          <w:tcPr>
            <w:tcW w:w="1620" w:type="dxa"/>
            <w:tcBorders>
              <w:top w:val="single" w:sz="6" w:space="0" w:color="auto"/>
            </w:tcBorders>
            <w:noWrap/>
            <w:tcMar>
              <w:top w:w="16" w:type="dxa"/>
              <w:left w:w="16" w:type="dxa"/>
              <w:bottom w:w="0" w:type="dxa"/>
              <w:right w:w="16" w:type="dxa"/>
            </w:tcMar>
            <w:vAlign w:val="bottom"/>
          </w:tcPr>
          <w:p w:rsidR="00707035" w:rsidRDefault="00707035" w:rsidP="00707035">
            <w:pPr>
              <w:jc w:val="center"/>
              <w:rPr>
                <w:sz w:val="20"/>
              </w:rPr>
            </w:pPr>
            <w:r>
              <w:rPr>
                <w:sz w:val="20"/>
              </w:rPr>
              <w:t>0.753</w:t>
            </w:r>
          </w:p>
        </w:tc>
        <w:tc>
          <w:tcPr>
            <w:tcW w:w="900" w:type="dxa"/>
            <w:tcBorders>
              <w:top w:val="single" w:sz="6" w:space="0" w:color="auto"/>
            </w:tcBorders>
            <w:noWrap/>
            <w:tcMar>
              <w:top w:w="16" w:type="dxa"/>
              <w:left w:w="16" w:type="dxa"/>
              <w:bottom w:w="0" w:type="dxa"/>
              <w:right w:w="16" w:type="dxa"/>
            </w:tcMar>
            <w:vAlign w:val="bottom"/>
          </w:tcPr>
          <w:p w:rsidR="00707035" w:rsidRDefault="00707035" w:rsidP="00707035">
            <w:pPr>
              <w:jc w:val="center"/>
              <w:rPr>
                <w:sz w:val="20"/>
              </w:rPr>
            </w:pPr>
            <w:r>
              <w:rPr>
                <w:sz w:val="20"/>
              </w:rPr>
              <w:t>32.8</w:t>
            </w:r>
          </w:p>
        </w:tc>
        <w:tc>
          <w:tcPr>
            <w:tcW w:w="1260" w:type="dxa"/>
            <w:tcBorders>
              <w:top w:val="single" w:sz="6" w:space="0" w:color="auto"/>
            </w:tcBorders>
            <w:vAlign w:val="bottom"/>
          </w:tcPr>
          <w:p w:rsidR="00707035" w:rsidRDefault="00707035" w:rsidP="00707035">
            <w:pPr>
              <w:jc w:val="center"/>
              <w:rPr>
                <w:sz w:val="20"/>
              </w:rPr>
            </w:pPr>
            <w:r>
              <w:rPr>
                <w:sz w:val="20"/>
              </w:rPr>
              <w:t>34.5</w:t>
            </w:r>
          </w:p>
        </w:tc>
        <w:tc>
          <w:tcPr>
            <w:tcW w:w="1620" w:type="dxa"/>
            <w:tcBorders>
              <w:top w:val="single" w:sz="6" w:space="0" w:color="auto"/>
            </w:tcBorders>
            <w:vAlign w:val="bottom"/>
          </w:tcPr>
          <w:p w:rsidR="00707035" w:rsidRDefault="00707035" w:rsidP="00707035">
            <w:pPr>
              <w:jc w:val="center"/>
              <w:rPr>
                <w:sz w:val="20"/>
              </w:rPr>
            </w:pPr>
            <w:r>
              <w:rPr>
                <w:sz w:val="20"/>
              </w:rPr>
              <w:t>0.951</w:t>
            </w:r>
          </w:p>
        </w:tc>
        <w:tc>
          <w:tcPr>
            <w:tcW w:w="1093" w:type="dxa"/>
            <w:tcBorders>
              <w:top w:val="single" w:sz="6" w:space="0" w:color="auto"/>
            </w:tcBorders>
            <w:vAlign w:val="bottom"/>
          </w:tcPr>
          <w:p w:rsidR="00707035" w:rsidRDefault="00707035" w:rsidP="00707035">
            <w:pPr>
              <w:jc w:val="center"/>
              <w:rPr>
                <w:sz w:val="20"/>
              </w:rPr>
            </w:pPr>
            <w:r>
              <w:rPr>
                <w:sz w:val="20"/>
              </w:rPr>
              <w:t>450</w:t>
            </w:r>
          </w:p>
        </w:tc>
        <w:tc>
          <w:tcPr>
            <w:tcW w:w="1093" w:type="dxa"/>
            <w:tcBorders>
              <w:top w:val="single" w:sz="6" w:space="0" w:color="auto"/>
            </w:tcBorders>
            <w:vAlign w:val="bottom"/>
          </w:tcPr>
          <w:p w:rsidR="00707035" w:rsidRDefault="00707035" w:rsidP="00707035">
            <w:pPr>
              <w:jc w:val="center"/>
              <w:rPr>
                <w:sz w:val="20"/>
              </w:rPr>
            </w:pPr>
            <w:r>
              <w:rPr>
                <w:sz w:val="20"/>
              </w:rPr>
              <w:t>370</w:t>
            </w:r>
          </w:p>
        </w:tc>
        <w:tc>
          <w:tcPr>
            <w:tcW w:w="1594" w:type="dxa"/>
            <w:tcBorders>
              <w:top w:val="single" w:sz="6" w:space="0" w:color="auto"/>
            </w:tcBorders>
            <w:vAlign w:val="bottom"/>
          </w:tcPr>
          <w:p w:rsidR="00707035" w:rsidRDefault="00707035" w:rsidP="00707035">
            <w:pPr>
              <w:jc w:val="center"/>
              <w:rPr>
                <w:sz w:val="20"/>
              </w:rPr>
            </w:pPr>
            <w:r>
              <w:rPr>
                <w:sz w:val="20"/>
              </w:rPr>
              <w:t>1.216</w:t>
            </w:r>
          </w:p>
        </w:tc>
      </w:tr>
      <w:tr w:rsidR="00707035" w:rsidTr="00707035">
        <w:trPr>
          <w:trHeight w:val="20"/>
        </w:trPr>
        <w:tc>
          <w:tcPr>
            <w:tcW w:w="1636" w:type="dxa"/>
            <w:noWrap/>
            <w:tcMar>
              <w:top w:w="16" w:type="dxa"/>
              <w:left w:w="16" w:type="dxa"/>
              <w:bottom w:w="0" w:type="dxa"/>
              <w:right w:w="16" w:type="dxa"/>
            </w:tcMar>
            <w:vAlign w:val="bottom"/>
          </w:tcPr>
          <w:p w:rsidR="00707035" w:rsidRDefault="00707035" w:rsidP="00707035">
            <w:pPr>
              <w:rPr>
                <w:sz w:val="20"/>
              </w:rPr>
            </w:pPr>
            <w:r>
              <w:rPr>
                <w:sz w:val="20"/>
              </w:rPr>
              <w:t>Cefuroxime</w:t>
            </w:r>
          </w:p>
        </w:tc>
        <w:tc>
          <w:tcPr>
            <w:tcW w:w="900" w:type="dxa"/>
            <w:noWrap/>
            <w:tcMar>
              <w:top w:w="16" w:type="dxa"/>
              <w:left w:w="16" w:type="dxa"/>
              <w:bottom w:w="0" w:type="dxa"/>
              <w:right w:w="16" w:type="dxa"/>
            </w:tcMar>
            <w:vAlign w:val="bottom"/>
          </w:tcPr>
          <w:p w:rsidR="00707035" w:rsidRDefault="00707035" w:rsidP="00707035">
            <w:pPr>
              <w:jc w:val="center"/>
              <w:rPr>
                <w:sz w:val="20"/>
              </w:rPr>
            </w:pPr>
            <w:r>
              <w:rPr>
                <w:sz w:val="20"/>
              </w:rPr>
              <w:t>44</w:t>
            </w:r>
          </w:p>
        </w:tc>
        <w:tc>
          <w:tcPr>
            <w:tcW w:w="1080" w:type="dxa"/>
            <w:noWrap/>
            <w:tcMar>
              <w:top w:w="16" w:type="dxa"/>
              <w:left w:w="16" w:type="dxa"/>
              <w:bottom w:w="0" w:type="dxa"/>
              <w:right w:w="16" w:type="dxa"/>
            </w:tcMar>
            <w:vAlign w:val="bottom"/>
          </w:tcPr>
          <w:p w:rsidR="00707035" w:rsidRDefault="00707035" w:rsidP="00707035">
            <w:pPr>
              <w:jc w:val="center"/>
              <w:rPr>
                <w:sz w:val="20"/>
              </w:rPr>
            </w:pPr>
            <w:r>
              <w:rPr>
                <w:sz w:val="20"/>
              </w:rPr>
              <w:t>58</w:t>
            </w:r>
          </w:p>
        </w:tc>
        <w:tc>
          <w:tcPr>
            <w:tcW w:w="1620" w:type="dxa"/>
            <w:noWrap/>
            <w:tcMar>
              <w:top w:w="16" w:type="dxa"/>
              <w:left w:w="16" w:type="dxa"/>
              <w:bottom w:w="0" w:type="dxa"/>
              <w:right w:w="16" w:type="dxa"/>
            </w:tcMar>
            <w:vAlign w:val="bottom"/>
          </w:tcPr>
          <w:p w:rsidR="00707035" w:rsidRDefault="00707035" w:rsidP="00707035">
            <w:pPr>
              <w:jc w:val="center"/>
              <w:rPr>
                <w:sz w:val="20"/>
              </w:rPr>
            </w:pPr>
            <w:r>
              <w:rPr>
                <w:sz w:val="20"/>
              </w:rPr>
              <w:t>0.759</w:t>
            </w:r>
          </w:p>
        </w:tc>
        <w:tc>
          <w:tcPr>
            <w:tcW w:w="900" w:type="dxa"/>
            <w:noWrap/>
            <w:tcMar>
              <w:top w:w="16" w:type="dxa"/>
              <w:left w:w="16" w:type="dxa"/>
              <w:bottom w:w="0" w:type="dxa"/>
              <w:right w:w="16" w:type="dxa"/>
            </w:tcMar>
            <w:vAlign w:val="bottom"/>
          </w:tcPr>
          <w:p w:rsidR="00707035" w:rsidRDefault="00707035" w:rsidP="00707035">
            <w:pPr>
              <w:jc w:val="center"/>
              <w:rPr>
                <w:sz w:val="20"/>
              </w:rPr>
            </w:pPr>
            <w:r>
              <w:rPr>
                <w:sz w:val="20"/>
              </w:rPr>
              <w:t>17.8</w:t>
            </w:r>
          </w:p>
        </w:tc>
        <w:tc>
          <w:tcPr>
            <w:tcW w:w="1260" w:type="dxa"/>
            <w:vAlign w:val="bottom"/>
          </w:tcPr>
          <w:p w:rsidR="00707035" w:rsidRDefault="00707035" w:rsidP="00707035">
            <w:pPr>
              <w:jc w:val="center"/>
              <w:rPr>
                <w:sz w:val="20"/>
              </w:rPr>
            </w:pPr>
            <w:r>
              <w:rPr>
                <w:sz w:val="20"/>
              </w:rPr>
              <w:t>16.3</w:t>
            </w:r>
          </w:p>
        </w:tc>
        <w:tc>
          <w:tcPr>
            <w:tcW w:w="1620" w:type="dxa"/>
            <w:vAlign w:val="bottom"/>
          </w:tcPr>
          <w:p w:rsidR="00707035" w:rsidRDefault="00707035" w:rsidP="00707035">
            <w:pPr>
              <w:jc w:val="center"/>
              <w:rPr>
                <w:sz w:val="20"/>
              </w:rPr>
            </w:pPr>
            <w:r>
              <w:rPr>
                <w:sz w:val="20"/>
              </w:rPr>
              <w:t>1.092</w:t>
            </w:r>
          </w:p>
        </w:tc>
        <w:tc>
          <w:tcPr>
            <w:tcW w:w="1093" w:type="dxa"/>
            <w:vAlign w:val="bottom"/>
          </w:tcPr>
          <w:p w:rsidR="00707035" w:rsidRDefault="00707035" w:rsidP="00707035">
            <w:pPr>
              <w:jc w:val="center"/>
              <w:rPr>
                <w:sz w:val="20"/>
              </w:rPr>
            </w:pPr>
            <w:r>
              <w:rPr>
                <w:sz w:val="20"/>
              </w:rPr>
              <w:t>282</w:t>
            </w:r>
          </w:p>
        </w:tc>
        <w:tc>
          <w:tcPr>
            <w:tcW w:w="1093" w:type="dxa"/>
            <w:vAlign w:val="bottom"/>
          </w:tcPr>
          <w:p w:rsidR="00707035" w:rsidRDefault="00707035" w:rsidP="00707035">
            <w:pPr>
              <w:jc w:val="center"/>
              <w:rPr>
                <w:sz w:val="20"/>
              </w:rPr>
            </w:pPr>
            <w:r>
              <w:rPr>
                <w:sz w:val="20"/>
              </w:rPr>
              <w:t>198</w:t>
            </w:r>
          </w:p>
        </w:tc>
        <w:tc>
          <w:tcPr>
            <w:tcW w:w="1594" w:type="dxa"/>
            <w:vAlign w:val="bottom"/>
          </w:tcPr>
          <w:p w:rsidR="00707035" w:rsidRDefault="00707035" w:rsidP="00707035">
            <w:pPr>
              <w:jc w:val="center"/>
              <w:rPr>
                <w:sz w:val="20"/>
              </w:rPr>
            </w:pPr>
            <w:r>
              <w:rPr>
                <w:sz w:val="20"/>
              </w:rPr>
              <w:t>1.424</w:t>
            </w:r>
          </w:p>
        </w:tc>
      </w:tr>
      <w:tr w:rsidR="00707035" w:rsidTr="00707035">
        <w:trPr>
          <w:trHeight w:val="20"/>
        </w:trPr>
        <w:tc>
          <w:tcPr>
            <w:tcW w:w="1636" w:type="dxa"/>
            <w:noWrap/>
            <w:tcMar>
              <w:top w:w="16" w:type="dxa"/>
              <w:left w:w="16" w:type="dxa"/>
              <w:bottom w:w="0" w:type="dxa"/>
              <w:right w:w="16" w:type="dxa"/>
            </w:tcMar>
            <w:vAlign w:val="bottom"/>
          </w:tcPr>
          <w:p w:rsidR="00707035" w:rsidRDefault="00707035" w:rsidP="00707035">
            <w:pPr>
              <w:rPr>
                <w:sz w:val="20"/>
              </w:rPr>
            </w:pPr>
            <w:proofErr w:type="spellStart"/>
            <w:r>
              <w:rPr>
                <w:sz w:val="20"/>
              </w:rPr>
              <w:t>Imipenem</w:t>
            </w:r>
            <w:proofErr w:type="spellEnd"/>
          </w:p>
        </w:tc>
        <w:tc>
          <w:tcPr>
            <w:tcW w:w="900" w:type="dxa"/>
            <w:noWrap/>
            <w:tcMar>
              <w:top w:w="16" w:type="dxa"/>
              <w:left w:w="16" w:type="dxa"/>
              <w:bottom w:w="0" w:type="dxa"/>
              <w:right w:w="16" w:type="dxa"/>
            </w:tcMar>
            <w:vAlign w:val="bottom"/>
          </w:tcPr>
          <w:p w:rsidR="00707035" w:rsidRDefault="00707035" w:rsidP="00707035">
            <w:pPr>
              <w:jc w:val="center"/>
              <w:rPr>
                <w:sz w:val="20"/>
              </w:rPr>
            </w:pPr>
            <w:r>
              <w:rPr>
                <w:sz w:val="20"/>
              </w:rPr>
              <w:t>36</w:t>
            </w:r>
          </w:p>
        </w:tc>
        <w:tc>
          <w:tcPr>
            <w:tcW w:w="1080" w:type="dxa"/>
            <w:noWrap/>
            <w:tcMar>
              <w:top w:w="16" w:type="dxa"/>
              <w:left w:w="16" w:type="dxa"/>
              <w:bottom w:w="0" w:type="dxa"/>
              <w:right w:w="16" w:type="dxa"/>
            </w:tcMar>
            <w:vAlign w:val="bottom"/>
          </w:tcPr>
          <w:p w:rsidR="00707035" w:rsidRDefault="00707035" w:rsidP="00707035">
            <w:pPr>
              <w:jc w:val="center"/>
              <w:rPr>
                <w:sz w:val="20"/>
              </w:rPr>
            </w:pPr>
            <w:r>
              <w:rPr>
                <w:sz w:val="20"/>
              </w:rPr>
              <w:t>41</w:t>
            </w:r>
          </w:p>
        </w:tc>
        <w:tc>
          <w:tcPr>
            <w:tcW w:w="1620" w:type="dxa"/>
            <w:noWrap/>
            <w:tcMar>
              <w:top w:w="16" w:type="dxa"/>
              <w:left w:w="16" w:type="dxa"/>
              <w:bottom w:w="0" w:type="dxa"/>
              <w:right w:w="16" w:type="dxa"/>
            </w:tcMar>
            <w:vAlign w:val="bottom"/>
          </w:tcPr>
          <w:p w:rsidR="00707035" w:rsidRDefault="00707035" w:rsidP="00707035">
            <w:pPr>
              <w:jc w:val="center"/>
              <w:rPr>
                <w:sz w:val="20"/>
              </w:rPr>
            </w:pPr>
            <w:r>
              <w:rPr>
                <w:sz w:val="20"/>
              </w:rPr>
              <w:t>0.878</w:t>
            </w:r>
          </w:p>
        </w:tc>
        <w:tc>
          <w:tcPr>
            <w:tcW w:w="900" w:type="dxa"/>
            <w:noWrap/>
            <w:tcMar>
              <w:top w:w="16" w:type="dxa"/>
              <w:left w:w="16" w:type="dxa"/>
              <w:bottom w:w="0" w:type="dxa"/>
              <w:right w:w="16" w:type="dxa"/>
            </w:tcMar>
            <w:vAlign w:val="bottom"/>
          </w:tcPr>
          <w:p w:rsidR="00707035" w:rsidRDefault="00707035" w:rsidP="00707035">
            <w:pPr>
              <w:jc w:val="center"/>
              <w:rPr>
                <w:sz w:val="20"/>
              </w:rPr>
            </w:pPr>
            <w:r>
              <w:rPr>
                <w:sz w:val="20"/>
              </w:rPr>
              <w:t>47.1</w:t>
            </w:r>
          </w:p>
        </w:tc>
        <w:tc>
          <w:tcPr>
            <w:tcW w:w="1260" w:type="dxa"/>
            <w:vAlign w:val="bottom"/>
          </w:tcPr>
          <w:p w:rsidR="00707035" w:rsidRDefault="00707035" w:rsidP="00707035">
            <w:pPr>
              <w:jc w:val="center"/>
              <w:rPr>
                <w:sz w:val="20"/>
              </w:rPr>
            </w:pPr>
            <w:r>
              <w:rPr>
                <w:sz w:val="20"/>
              </w:rPr>
              <w:t>18.9</w:t>
            </w:r>
          </w:p>
        </w:tc>
        <w:tc>
          <w:tcPr>
            <w:tcW w:w="1620" w:type="dxa"/>
            <w:vAlign w:val="bottom"/>
          </w:tcPr>
          <w:p w:rsidR="00707035" w:rsidRDefault="00707035" w:rsidP="00707035">
            <w:pPr>
              <w:jc w:val="center"/>
              <w:rPr>
                <w:sz w:val="20"/>
              </w:rPr>
            </w:pPr>
            <w:r>
              <w:rPr>
                <w:sz w:val="20"/>
              </w:rPr>
              <w:t>2.492</w:t>
            </w:r>
          </w:p>
        </w:tc>
        <w:tc>
          <w:tcPr>
            <w:tcW w:w="1093" w:type="dxa"/>
            <w:vAlign w:val="bottom"/>
          </w:tcPr>
          <w:p w:rsidR="00707035" w:rsidRDefault="00707035" w:rsidP="00707035">
            <w:pPr>
              <w:jc w:val="center"/>
              <w:rPr>
                <w:sz w:val="20"/>
              </w:rPr>
            </w:pPr>
            <w:r>
              <w:rPr>
                <w:sz w:val="20"/>
              </w:rPr>
              <w:t>973</w:t>
            </w:r>
          </w:p>
        </w:tc>
        <w:tc>
          <w:tcPr>
            <w:tcW w:w="1093" w:type="dxa"/>
            <w:vAlign w:val="bottom"/>
          </w:tcPr>
          <w:p w:rsidR="00707035" w:rsidRDefault="00707035" w:rsidP="00707035">
            <w:pPr>
              <w:jc w:val="center"/>
              <w:rPr>
                <w:sz w:val="20"/>
              </w:rPr>
            </w:pPr>
            <w:r>
              <w:rPr>
                <w:sz w:val="20"/>
              </w:rPr>
              <w:t>338</w:t>
            </w:r>
          </w:p>
        </w:tc>
        <w:tc>
          <w:tcPr>
            <w:tcW w:w="1594" w:type="dxa"/>
            <w:vAlign w:val="bottom"/>
          </w:tcPr>
          <w:p w:rsidR="00707035" w:rsidRDefault="00707035" w:rsidP="00707035">
            <w:pPr>
              <w:jc w:val="center"/>
              <w:rPr>
                <w:sz w:val="20"/>
              </w:rPr>
            </w:pPr>
            <w:r>
              <w:rPr>
                <w:sz w:val="20"/>
              </w:rPr>
              <w:t>2.879</w:t>
            </w:r>
          </w:p>
        </w:tc>
      </w:tr>
      <w:tr w:rsidR="00707035" w:rsidTr="00707035">
        <w:trPr>
          <w:trHeight w:val="20"/>
        </w:trPr>
        <w:tc>
          <w:tcPr>
            <w:tcW w:w="1636" w:type="dxa"/>
            <w:noWrap/>
            <w:tcMar>
              <w:top w:w="16" w:type="dxa"/>
              <w:left w:w="16" w:type="dxa"/>
              <w:bottom w:w="0" w:type="dxa"/>
              <w:right w:w="16" w:type="dxa"/>
            </w:tcMar>
            <w:vAlign w:val="bottom"/>
          </w:tcPr>
          <w:p w:rsidR="00707035" w:rsidRDefault="00707035" w:rsidP="00707035">
            <w:pPr>
              <w:rPr>
                <w:sz w:val="20"/>
              </w:rPr>
            </w:pPr>
            <w:proofErr w:type="spellStart"/>
            <w:r>
              <w:rPr>
                <w:sz w:val="20"/>
              </w:rPr>
              <w:t>Piperacillin</w:t>
            </w:r>
            <w:proofErr w:type="spellEnd"/>
          </w:p>
        </w:tc>
        <w:tc>
          <w:tcPr>
            <w:tcW w:w="900" w:type="dxa"/>
            <w:noWrap/>
            <w:tcMar>
              <w:top w:w="16" w:type="dxa"/>
              <w:left w:w="16" w:type="dxa"/>
              <w:bottom w:w="0" w:type="dxa"/>
              <w:right w:w="16" w:type="dxa"/>
            </w:tcMar>
            <w:vAlign w:val="bottom"/>
          </w:tcPr>
          <w:p w:rsidR="00707035" w:rsidRDefault="00707035" w:rsidP="00707035">
            <w:pPr>
              <w:jc w:val="center"/>
              <w:rPr>
                <w:sz w:val="20"/>
              </w:rPr>
            </w:pPr>
            <w:r>
              <w:rPr>
                <w:sz w:val="20"/>
              </w:rPr>
              <w:t>46.5</w:t>
            </w:r>
          </w:p>
        </w:tc>
        <w:tc>
          <w:tcPr>
            <w:tcW w:w="1080" w:type="dxa"/>
            <w:noWrap/>
            <w:tcMar>
              <w:top w:w="16" w:type="dxa"/>
              <w:left w:w="16" w:type="dxa"/>
              <w:bottom w:w="0" w:type="dxa"/>
              <w:right w:w="16" w:type="dxa"/>
            </w:tcMar>
            <w:vAlign w:val="bottom"/>
          </w:tcPr>
          <w:p w:rsidR="00707035" w:rsidRDefault="00707035" w:rsidP="00707035">
            <w:pPr>
              <w:jc w:val="center"/>
              <w:rPr>
                <w:sz w:val="20"/>
              </w:rPr>
            </w:pPr>
            <w:r>
              <w:rPr>
                <w:sz w:val="20"/>
              </w:rPr>
              <w:t>53.7</w:t>
            </w:r>
          </w:p>
        </w:tc>
        <w:tc>
          <w:tcPr>
            <w:tcW w:w="1620" w:type="dxa"/>
            <w:noWrap/>
            <w:tcMar>
              <w:top w:w="16" w:type="dxa"/>
              <w:left w:w="16" w:type="dxa"/>
              <w:bottom w:w="0" w:type="dxa"/>
              <w:right w:w="16" w:type="dxa"/>
            </w:tcMar>
            <w:vAlign w:val="bottom"/>
          </w:tcPr>
          <w:p w:rsidR="00707035" w:rsidRDefault="00707035" w:rsidP="00707035">
            <w:pPr>
              <w:jc w:val="center"/>
              <w:rPr>
                <w:sz w:val="20"/>
              </w:rPr>
            </w:pPr>
            <w:r>
              <w:rPr>
                <w:sz w:val="20"/>
              </w:rPr>
              <w:t>0.866</w:t>
            </w:r>
          </w:p>
        </w:tc>
        <w:tc>
          <w:tcPr>
            <w:tcW w:w="900" w:type="dxa"/>
            <w:noWrap/>
            <w:tcMar>
              <w:top w:w="16" w:type="dxa"/>
              <w:left w:w="16" w:type="dxa"/>
              <w:bottom w:w="0" w:type="dxa"/>
              <w:right w:w="16" w:type="dxa"/>
            </w:tcMar>
            <w:vAlign w:val="bottom"/>
          </w:tcPr>
          <w:p w:rsidR="00707035" w:rsidRDefault="00707035" w:rsidP="00707035">
            <w:pPr>
              <w:jc w:val="center"/>
              <w:rPr>
                <w:sz w:val="20"/>
              </w:rPr>
            </w:pPr>
            <w:r>
              <w:rPr>
                <w:sz w:val="20"/>
              </w:rPr>
              <w:t>67.6</w:t>
            </w:r>
          </w:p>
        </w:tc>
        <w:tc>
          <w:tcPr>
            <w:tcW w:w="1260" w:type="dxa"/>
            <w:vAlign w:val="bottom"/>
          </w:tcPr>
          <w:p w:rsidR="00707035" w:rsidRDefault="00707035" w:rsidP="00707035">
            <w:pPr>
              <w:jc w:val="center"/>
              <w:rPr>
                <w:sz w:val="20"/>
              </w:rPr>
            </w:pPr>
            <w:r>
              <w:rPr>
                <w:sz w:val="20"/>
              </w:rPr>
              <w:t>41.9</w:t>
            </w:r>
          </w:p>
        </w:tc>
        <w:tc>
          <w:tcPr>
            <w:tcW w:w="1620" w:type="dxa"/>
            <w:vAlign w:val="bottom"/>
          </w:tcPr>
          <w:p w:rsidR="00707035" w:rsidRDefault="00707035" w:rsidP="00707035">
            <w:pPr>
              <w:jc w:val="center"/>
              <w:rPr>
                <w:sz w:val="20"/>
              </w:rPr>
            </w:pPr>
            <w:r>
              <w:rPr>
                <w:sz w:val="20"/>
              </w:rPr>
              <w:t>1.613</w:t>
            </w:r>
          </w:p>
        </w:tc>
        <w:tc>
          <w:tcPr>
            <w:tcW w:w="1093" w:type="dxa"/>
            <w:vAlign w:val="bottom"/>
          </w:tcPr>
          <w:p w:rsidR="00707035" w:rsidRDefault="00707035" w:rsidP="00707035">
            <w:pPr>
              <w:jc w:val="center"/>
              <w:rPr>
                <w:sz w:val="20"/>
              </w:rPr>
            </w:pPr>
            <w:r>
              <w:rPr>
                <w:sz w:val="20"/>
              </w:rPr>
              <w:t>1538</w:t>
            </w:r>
          </w:p>
        </w:tc>
        <w:tc>
          <w:tcPr>
            <w:tcW w:w="1093" w:type="dxa"/>
            <w:vAlign w:val="bottom"/>
          </w:tcPr>
          <w:p w:rsidR="00707035" w:rsidRDefault="00707035" w:rsidP="00707035">
            <w:pPr>
              <w:jc w:val="center"/>
              <w:rPr>
                <w:sz w:val="20"/>
              </w:rPr>
            </w:pPr>
            <w:r>
              <w:rPr>
                <w:sz w:val="20"/>
              </w:rPr>
              <w:t>540</w:t>
            </w:r>
          </w:p>
        </w:tc>
        <w:tc>
          <w:tcPr>
            <w:tcW w:w="1594" w:type="dxa"/>
            <w:vAlign w:val="bottom"/>
          </w:tcPr>
          <w:p w:rsidR="00707035" w:rsidRDefault="00707035" w:rsidP="00707035">
            <w:pPr>
              <w:jc w:val="center"/>
              <w:rPr>
                <w:sz w:val="20"/>
              </w:rPr>
            </w:pPr>
            <w:r>
              <w:rPr>
                <w:sz w:val="20"/>
              </w:rPr>
              <w:t>2.848</w:t>
            </w:r>
          </w:p>
        </w:tc>
      </w:tr>
      <w:tr w:rsidR="00707035" w:rsidTr="00707035">
        <w:trPr>
          <w:trHeight w:val="20"/>
        </w:trPr>
        <w:tc>
          <w:tcPr>
            <w:tcW w:w="1636" w:type="dxa"/>
            <w:noWrap/>
            <w:tcMar>
              <w:top w:w="16" w:type="dxa"/>
              <w:left w:w="16" w:type="dxa"/>
              <w:bottom w:w="0" w:type="dxa"/>
              <w:right w:w="16" w:type="dxa"/>
            </w:tcMar>
            <w:vAlign w:val="bottom"/>
          </w:tcPr>
          <w:p w:rsidR="00707035" w:rsidRDefault="00707035" w:rsidP="00707035">
            <w:pPr>
              <w:rPr>
                <w:sz w:val="20"/>
              </w:rPr>
            </w:pPr>
            <w:proofErr w:type="spellStart"/>
            <w:r>
              <w:rPr>
                <w:sz w:val="20"/>
              </w:rPr>
              <w:t>Azlocillin</w:t>
            </w:r>
            <w:proofErr w:type="spellEnd"/>
          </w:p>
        </w:tc>
        <w:tc>
          <w:tcPr>
            <w:tcW w:w="900" w:type="dxa"/>
            <w:noWrap/>
            <w:tcMar>
              <w:top w:w="16" w:type="dxa"/>
              <w:left w:w="16" w:type="dxa"/>
              <w:bottom w:w="0" w:type="dxa"/>
              <w:right w:w="16" w:type="dxa"/>
            </w:tcMar>
            <w:vAlign w:val="bottom"/>
          </w:tcPr>
          <w:p w:rsidR="00707035" w:rsidRDefault="00707035" w:rsidP="00707035">
            <w:pPr>
              <w:jc w:val="center"/>
              <w:rPr>
                <w:sz w:val="20"/>
              </w:rPr>
            </w:pPr>
            <w:r>
              <w:rPr>
                <w:sz w:val="20"/>
              </w:rPr>
              <w:t>65.4</w:t>
            </w:r>
          </w:p>
        </w:tc>
        <w:tc>
          <w:tcPr>
            <w:tcW w:w="1080" w:type="dxa"/>
            <w:noWrap/>
            <w:tcMar>
              <w:top w:w="16" w:type="dxa"/>
              <w:left w:w="16" w:type="dxa"/>
              <w:bottom w:w="0" w:type="dxa"/>
              <w:right w:w="16" w:type="dxa"/>
            </w:tcMar>
            <w:vAlign w:val="bottom"/>
          </w:tcPr>
          <w:p w:rsidR="00707035" w:rsidRDefault="00707035" w:rsidP="00707035">
            <w:pPr>
              <w:jc w:val="center"/>
              <w:rPr>
                <w:sz w:val="20"/>
              </w:rPr>
            </w:pPr>
            <w:r>
              <w:rPr>
                <w:sz w:val="20"/>
              </w:rPr>
              <w:t>72</w:t>
            </w:r>
          </w:p>
        </w:tc>
        <w:tc>
          <w:tcPr>
            <w:tcW w:w="1620" w:type="dxa"/>
            <w:noWrap/>
            <w:tcMar>
              <w:top w:w="16" w:type="dxa"/>
              <w:left w:w="16" w:type="dxa"/>
              <w:bottom w:w="0" w:type="dxa"/>
              <w:right w:w="16" w:type="dxa"/>
            </w:tcMar>
            <w:vAlign w:val="bottom"/>
          </w:tcPr>
          <w:p w:rsidR="00707035" w:rsidRDefault="00707035" w:rsidP="00707035">
            <w:pPr>
              <w:jc w:val="center"/>
              <w:rPr>
                <w:sz w:val="20"/>
              </w:rPr>
            </w:pPr>
            <w:r>
              <w:rPr>
                <w:sz w:val="20"/>
              </w:rPr>
              <w:t>0.908</w:t>
            </w:r>
          </w:p>
        </w:tc>
        <w:tc>
          <w:tcPr>
            <w:tcW w:w="900" w:type="dxa"/>
            <w:noWrap/>
            <w:tcMar>
              <w:top w:w="16" w:type="dxa"/>
              <w:left w:w="16" w:type="dxa"/>
              <w:bottom w:w="0" w:type="dxa"/>
              <w:right w:w="16" w:type="dxa"/>
            </w:tcMar>
            <w:vAlign w:val="bottom"/>
          </w:tcPr>
          <w:p w:rsidR="00707035" w:rsidRDefault="00707035" w:rsidP="00707035">
            <w:pPr>
              <w:jc w:val="center"/>
              <w:rPr>
                <w:sz w:val="20"/>
              </w:rPr>
            </w:pPr>
            <w:r>
              <w:rPr>
                <w:sz w:val="20"/>
              </w:rPr>
              <w:t>15.4</w:t>
            </w:r>
          </w:p>
        </w:tc>
        <w:tc>
          <w:tcPr>
            <w:tcW w:w="1260" w:type="dxa"/>
            <w:vAlign w:val="bottom"/>
          </w:tcPr>
          <w:p w:rsidR="00707035" w:rsidRDefault="00707035" w:rsidP="00707035">
            <w:pPr>
              <w:jc w:val="center"/>
              <w:rPr>
                <w:sz w:val="20"/>
              </w:rPr>
            </w:pPr>
            <w:r>
              <w:rPr>
                <w:sz w:val="20"/>
              </w:rPr>
              <w:t>24.7</w:t>
            </w:r>
          </w:p>
        </w:tc>
        <w:tc>
          <w:tcPr>
            <w:tcW w:w="1620" w:type="dxa"/>
            <w:vAlign w:val="bottom"/>
          </w:tcPr>
          <w:p w:rsidR="00707035" w:rsidRDefault="00707035" w:rsidP="00707035">
            <w:pPr>
              <w:jc w:val="center"/>
              <w:rPr>
                <w:sz w:val="20"/>
              </w:rPr>
            </w:pPr>
            <w:r>
              <w:rPr>
                <w:sz w:val="20"/>
              </w:rPr>
              <w:t>0.623</w:t>
            </w:r>
          </w:p>
        </w:tc>
        <w:tc>
          <w:tcPr>
            <w:tcW w:w="1093" w:type="dxa"/>
            <w:vAlign w:val="bottom"/>
          </w:tcPr>
          <w:p w:rsidR="00707035" w:rsidRDefault="00707035" w:rsidP="00707035">
            <w:pPr>
              <w:jc w:val="center"/>
              <w:rPr>
                <w:sz w:val="20"/>
              </w:rPr>
            </w:pPr>
            <w:r>
              <w:rPr>
                <w:sz w:val="20"/>
              </w:rPr>
              <w:t>126.1</w:t>
            </w:r>
          </w:p>
        </w:tc>
        <w:tc>
          <w:tcPr>
            <w:tcW w:w="1093" w:type="dxa"/>
            <w:vAlign w:val="bottom"/>
          </w:tcPr>
          <w:p w:rsidR="00707035" w:rsidRDefault="00707035" w:rsidP="00707035">
            <w:pPr>
              <w:jc w:val="center"/>
              <w:rPr>
                <w:sz w:val="20"/>
              </w:rPr>
            </w:pPr>
            <w:r>
              <w:rPr>
                <w:sz w:val="20"/>
              </w:rPr>
              <w:t>195.7</w:t>
            </w:r>
          </w:p>
        </w:tc>
        <w:tc>
          <w:tcPr>
            <w:tcW w:w="1594" w:type="dxa"/>
            <w:vAlign w:val="bottom"/>
          </w:tcPr>
          <w:p w:rsidR="00707035" w:rsidRDefault="00707035" w:rsidP="00707035">
            <w:pPr>
              <w:jc w:val="center"/>
              <w:rPr>
                <w:sz w:val="20"/>
              </w:rPr>
            </w:pPr>
            <w:r>
              <w:rPr>
                <w:sz w:val="20"/>
              </w:rPr>
              <w:t>0.644</w:t>
            </w:r>
          </w:p>
        </w:tc>
      </w:tr>
      <w:tr w:rsidR="00707035" w:rsidTr="00707035">
        <w:trPr>
          <w:trHeight w:val="20"/>
        </w:trPr>
        <w:tc>
          <w:tcPr>
            <w:tcW w:w="1636" w:type="dxa"/>
            <w:noWrap/>
            <w:tcMar>
              <w:top w:w="16" w:type="dxa"/>
              <w:left w:w="16" w:type="dxa"/>
              <w:bottom w:w="0" w:type="dxa"/>
              <w:right w:w="16" w:type="dxa"/>
            </w:tcMar>
            <w:vAlign w:val="bottom"/>
          </w:tcPr>
          <w:p w:rsidR="00707035" w:rsidRDefault="00707035" w:rsidP="00707035">
            <w:pPr>
              <w:rPr>
                <w:sz w:val="20"/>
              </w:rPr>
            </w:pPr>
            <w:proofErr w:type="spellStart"/>
            <w:r>
              <w:rPr>
                <w:sz w:val="20"/>
              </w:rPr>
              <w:t>Nifedipine</w:t>
            </w:r>
            <w:proofErr w:type="spellEnd"/>
          </w:p>
        </w:tc>
        <w:tc>
          <w:tcPr>
            <w:tcW w:w="900" w:type="dxa"/>
            <w:noWrap/>
            <w:tcMar>
              <w:top w:w="16" w:type="dxa"/>
              <w:left w:w="16" w:type="dxa"/>
              <w:bottom w:w="0" w:type="dxa"/>
              <w:right w:w="16" w:type="dxa"/>
            </w:tcMar>
            <w:vAlign w:val="bottom"/>
          </w:tcPr>
          <w:p w:rsidR="00707035" w:rsidRDefault="00707035" w:rsidP="00707035">
            <w:pPr>
              <w:jc w:val="center"/>
              <w:rPr>
                <w:sz w:val="20"/>
              </w:rPr>
            </w:pPr>
            <w:r>
              <w:rPr>
                <w:sz w:val="20"/>
              </w:rPr>
              <w:t>81</w:t>
            </w:r>
          </w:p>
        </w:tc>
        <w:tc>
          <w:tcPr>
            <w:tcW w:w="1080" w:type="dxa"/>
            <w:noWrap/>
            <w:tcMar>
              <w:top w:w="16" w:type="dxa"/>
              <w:left w:w="16" w:type="dxa"/>
              <w:bottom w:w="0" w:type="dxa"/>
              <w:right w:w="16" w:type="dxa"/>
            </w:tcMar>
            <w:vAlign w:val="bottom"/>
          </w:tcPr>
          <w:p w:rsidR="00707035" w:rsidRDefault="00707035" w:rsidP="00707035">
            <w:pPr>
              <w:jc w:val="center"/>
              <w:rPr>
                <w:sz w:val="20"/>
              </w:rPr>
            </w:pPr>
            <w:r>
              <w:rPr>
                <w:sz w:val="20"/>
              </w:rPr>
              <w:t>360</w:t>
            </w:r>
          </w:p>
        </w:tc>
        <w:tc>
          <w:tcPr>
            <w:tcW w:w="1620" w:type="dxa"/>
            <w:noWrap/>
            <w:tcMar>
              <w:top w:w="16" w:type="dxa"/>
              <w:left w:w="16" w:type="dxa"/>
              <w:bottom w:w="0" w:type="dxa"/>
              <w:right w:w="16" w:type="dxa"/>
            </w:tcMar>
            <w:vAlign w:val="bottom"/>
          </w:tcPr>
          <w:p w:rsidR="00707035" w:rsidRDefault="00707035" w:rsidP="00707035">
            <w:pPr>
              <w:jc w:val="center"/>
              <w:rPr>
                <w:sz w:val="20"/>
              </w:rPr>
            </w:pPr>
            <w:r>
              <w:rPr>
                <w:sz w:val="20"/>
              </w:rPr>
              <w:t>0.225</w:t>
            </w:r>
          </w:p>
        </w:tc>
        <w:tc>
          <w:tcPr>
            <w:tcW w:w="900" w:type="dxa"/>
            <w:noWrap/>
            <w:tcMar>
              <w:top w:w="16" w:type="dxa"/>
              <w:left w:w="16" w:type="dxa"/>
              <w:bottom w:w="0" w:type="dxa"/>
              <w:right w:w="16" w:type="dxa"/>
            </w:tcMar>
            <w:vAlign w:val="bottom"/>
          </w:tcPr>
          <w:p w:rsidR="00707035" w:rsidRDefault="00707035" w:rsidP="00707035">
            <w:pPr>
              <w:jc w:val="center"/>
              <w:rPr>
                <w:sz w:val="20"/>
              </w:rPr>
            </w:pPr>
          </w:p>
        </w:tc>
        <w:tc>
          <w:tcPr>
            <w:tcW w:w="1260" w:type="dxa"/>
          </w:tcPr>
          <w:p w:rsidR="00707035" w:rsidRDefault="00707035" w:rsidP="00707035">
            <w:pPr>
              <w:jc w:val="center"/>
              <w:rPr>
                <w:sz w:val="20"/>
              </w:rPr>
            </w:pPr>
          </w:p>
        </w:tc>
        <w:tc>
          <w:tcPr>
            <w:tcW w:w="1620" w:type="dxa"/>
          </w:tcPr>
          <w:p w:rsidR="00707035" w:rsidRDefault="00707035" w:rsidP="00707035">
            <w:pPr>
              <w:jc w:val="center"/>
              <w:rPr>
                <w:sz w:val="20"/>
              </w:rPr>
            </w:pPr>
          </w:p>
        </w:tc>
        <w:tc>
          <w:tcPr>
            <w:tcW w:w="1093" w:type="dxa"/>
            <w:vAlign w:val="bottom"/>
          </w:tcPr>
          <w:p w:rsidR="00707035" w:rsidRDefault="00707035" w:rsidP="00707035">
            <w:pPr>
              <w:jc w:val="center"/>
              <w:rPr>
                <w:sz w:val="20"/>
              </w:rPr>
            </w:pPr>
            <w:r>
              <w:rPr>
                <w:sz w:val="20"/>
              </w:rPr>
              <w:t>266</w:t>
            </w:r>
          </w:p>
        </w:tc>
        <w:tc>
          <w:tcPr>
            <w:tcW w:w="1093" w:type="dxa"/>
            <w:vAlign w:val="bottom"/>
          </w:tcPr>
          <w:p w:rsidR="00707035" w:rsidRDefault="00707035" w:rsidP="00707035">
            <w:pPr>
              <w:jc w:val="center"/>
              <w:rPr>
                <w:sz w:val="20"/>
              </w:rPr>
            </w:pPr>
            <w:r>
              <w:rPr>
                <w:sz w:val="20"/>
              </w:rPr>
              <w:t>27</w:t>
            </w:r>
          </w:p>
        </w:tc>
        <w:tc>
          <w:tcPr>
            <w:tcW w:w="1594" w:type="dxa"/>
            <w:vAlign w:val="bottom"/>
          </w:tcPr>
          <w:p w:rsidR="00707035" w:rsidRDefault="00707035" w:rsidP="00707035">
            <w:pPr>
              <w:jc w:val="center"/>
              <w:rPr>
                <w:sz w:val="20"/>
              </w:rPr>
            </w:pPr>
            <w:r>
              <w:rPr>
                <w:sz w:val="20"/>
              </w:rPr>
              <w:t>9.852</w:t>
            </w:r>
          </w:p>
        </w:tc>
      </w:tr>
      <w:tr w:rsidR="00707035" w:rsidTr="00707035">
        <w:trPr>
          <w:trHeight w:val="20"/>
        </w:trPr>
        <w:tc>
          <w:tcPr>
            <w:tcW w:w="1636" w:type="dxa"/>
            <w:noWrap/>
            <w:tcMar>
              <w:top w:w="16" w:type="dxa"/>
              <w:left w:w="16" w:type="dxa"/>
              <w:bottom w:w="0" w:type="dxa"/>
              <w:right w:w="16" w:type="dxa"/>
            </w:tcMar>
            <w:vAlign w:val="bottom"/>
          </w:tcPr>
          <w:p w:rsidR="00707035" w:rsidRDefault="00707035" w:rsidP="00707035">
            <w:pPr>
              <w:rPr>
                <w:sz w:val="20"/>
              </w:rPr>
            </w:pPr>
            <w:proofErr w:type="spellStart"/>
            <w:r>
              <w:rPr>
                <w:sz w:val="20"/>
              </w:rPr>
              <w:t>Labetolol</w:t>
            </w:r>
            <w:proofErr w:type="spellEnd"/>
          </w:p>
        </w:tc>
        <w:tc>
          <w:tcPr>
            <w:tcW w:w="900" w:type="dxa"/>
            <w:noWrap/>
            <w:tcMar>
              <w:top w:w="16" w:type="dxa"/>
              <w:left w:w="16" w:type="dxa"/>
              <w:bottom w:w="0" w:type="dxa"/>
              <w:right w:w="16" w:type="dxa"/>
            </w:tcMar>
            <w:vAlign w:val="bottom"/>
          </w:tcPr>
          <w:p w:rsidR="00707035" w:rsidRDefault="00707035" w:rsidP="00707035">
            <w:pPr>
              <w:jc w:val="center"/>
              <w:rPr>
                <w:sz w:val="20"/>
              </w:rPr>
            </w:pPr>
            <w:r>
              <w:rPr>
                <w:sz w:val="20"/>
              </w:rPr>
              <w:t>102</w:t>
            </w:r>
          </w:p>
        </w:tc>
        <w:tc>
          <w:tcPr>
            <w:tcW w:w="1080" w:type="dxa"/>
            <w:noWrap/>
            <w:tcMar>
              <w:top w:w="16" w:type="dxa"/>
              <w:left w:w="16" w:type="dxa"/>
              <w:bottom w:w="0" w:type="dxa"/>
              <w:right w:w="16" w:type="dxa"/>
            </w:tcMar>
            <w:vAlign w:val="bottom"/>
          </w:tcPr>
          <w:p w:rsidR="00707035" w:rsidRDefault="00707035" w:rsidP="00707035">
            <w:pPr>
              <w:jc w:val="center"/>
              <w:rPr>
                <w:sz w:val="20"/>
              </w:rPr>
            </w:pPr>
            <w:r>
              <w:rPr>
                <w:sz w:val="20"/>
              </w:rPr>
              <w:t>320</w:t>
            </w:r>
          </w:p>
        </w:tc>
        <w:tc>
          <w:tcPr>
            <w:tcW w:w="1620" w:type="dxa"/>
            <w:noWrap/>
            <w:tcMar>
              <w:top w:w="16" w:type="dxa"/>
              <w:left w:w="16" w:type="dxa"/>
              <w:bottom w:w="0" w:type="dxa"/>
              <w:right w:w="16" w:type="dxa"/>
            </w:tcMar>
            <w:vAlign w:val="bottom"/>
          </w:tcPr>
          <w:p w:rsidR="00707035" w:rsidRDefault="00707035" w:rsidP="00707035">
            <w:pPr>
              <w:jc w:val="center"/>
              <w:rPr>
                <w:sz w:val="20"/>
              </w:rPr>
            </w:pPr>
            <w:r>
              <w:rPr>
                <w:sz w:val="20"/>
              </w:rPr>
              <w:t>0.319</w:t>
            </w:r>
          </w:p>
        </w:tc>
        <w:tc>
          <w:tcPr>
            <w:tcW w:w="900" w:type="dxa"/>
            <w:noWrap/>
            <w:tcMar>
              <w:top w:w="16" w:type="dxa"/>
              <w:left w:w="16" w:type="dxa"/>
              <w:bottom w:w="0" w:type="dxa"/>
              <w:right w:w="16" w:type="dxa"/>
            </w:tcMar>
            <w:vAlign w:val="bottom"/>
          </w:tcPr>
          <w:p w:rsidR="00707035" w:rsidRDefault="00707035" w:rsidP="00707035">
            <w:pPr>
              <w:jc w:val="center"/>
              <w:rPr>
                <w:sz w:val="20"/>
              </w:rPr>
            </w:pPr>
          </w:p>
        </w:tc>
        <w:tc>
          <w:tcPr>
            <w:tcW w:w="1260" w:type="dxa"/>
          </w:tcPr>
          <w:p w:rsidR="00707035" w:rsidRDefault="00707035" w:rsidP="00707035">
            <w:pPr>
              <w:jc w:val="center"/>
              <w:rPr>
                <w:sz w:val="20"/>
              </w:rPr>
            </w:pPr>
          </w:p>
        </w:tc>
        <w:tc>
          <w:tcPr>
            <w:tcW w:w="1620" w:type="dxa"/>
          </w:tcPr>
          <w:p w:rsidR="00707035" w:rsidRDefault="00707035" w:rsidP="00707035">
            <w:pPr>
              <w:jc w:val="center"/>
              <w:rPr>
                <w:sz w:val="20"/>
              </w:rPr>
            </w:pPr>
          </w:p>
        </w:tc>
        <w:tc>
          <w:tcPr>
            <w:tcW w:w="1093" w:type="dxa"/>
            <w:vAlign w:val="bottom"/>
          </w:tcPr>
          <w:p w:rsidR="00707035" w:rsidRDefault="00707035" w:rsidP="00707035">
            <w:pPr>
              <w:jc w:val="center"/>
              <w:rPr>
                <w:sz w:val="20"/>
              </w:rPr>
            </w:pPr>
            <w:r>
              <w:rPr>
                <w:sz w:val="20"/>
              </w:rPr>
              <w:t>1704</w:t>
            </w:r>
          </w:p>
        </w:tc>
        <w:tc>
          <w:tcPr>
            <w:tcW w:w="1093" w:type="dxa"/>
            <w:vAlign w:val="bottom"/>
          </w:tcPr>
          <w:p w:rsidR="00707035" w:rsidRDefault="00707035" w:rsidP="00707035">
            <w:pPr>
              <w:jc w:val="center"/>
              <w:rPr>
                <w:sz w:val="20"/>
              </w:rPr>
            </w:pPr>
            <w:r>
              <w:rPr>
                <w:sz w:val="20"/>
              </w:rPr>
              <w:t>1430</w:t>
            </w:r>
          </w:p>
        </w:tc>
        <w:tc>
          <w:tcPr>
            <w:tcW w:w="1594" w:type="dxa"/>
            <w:vAlign w:val="bottom"/>
          </w:tcPr>
          <w:p w:rsidR="00707035" w:rsidRDefault="00707035" w:rsidP="00707035">
            <w:pPr>
              <w:jc w:val="center"/>
              <w:rPr>
                <w:sz w:val="20"/>
              </w:rPr>
            </w:pPr>
            <w:r>
              <w:rPr>
                <w:sz w:val="20"/>
              </w:rPr>
              <w:t>1.192</w:t>
            </w:r>
          </w:p>
        </w:tc>
      </w:tr>
      <w:tr w:rsidR="00707035" w:rsidTr="00707035">
        <w:trPr>
          <w:trHeight w:val="20"/>
        </w:trPr>
        <w:tc>
          <w:tcPr>
            <w:tcW w:w="1636" w:type="dxa"/>
            <w:noWrap/>
            <w:tcMar>
              <w:top w:w="16" w:type="dxa"/>
              <w:left w:w="16" w:type="dxa"/>
              <w:bottom w:w="0" w:type="dxa"/>
              <w:right w:w="16" w:type="dxa"/>
            </w:tcMar>
            <w:vAlign w:val="bottom"/>
          </w:tcPr>
          <w:p w:rsidR="00707035" w:rsidRDefault="00707035" w:rsidP="00707035">
            <w:pPr>
              <w:rPr>
                <w:sz w:val="20"/>
              </w:rPr>
            </w:pPr>
            <w:proofErr w:type="spellStart"/>
            <w:r>
              <w:rPr>
                <w:sz w:val="20"/>
              </w:rPr>
              <w:t>Sotalol</w:t>
            </w:r>
            <w:proofErr w:type="spellEnd"/>
          </w:p>
        </w:tc>
        <w:tc>
          <w:tcPr>
            <w:tcW w:w="900" w:type="dxa"/>
            <w:noWrap/>
            <w:tcMar>
              <w:top w:w="16" w:type="dxa"/>
              <w:left w:w="16" w:type="dxa"/>
              <w:bottom w:w="0" w:type="dxa"/>
              <w:right w:w="16" w:type="dxa"/>
            </w:tcMar>
            <w:vAlign w:val="bottom"/>
          </w:tcPr>
          <w:p w:rsidR="00707035" w:rsidRDefault="00707035" w:rsidP="00707035">
            <w:pPr>
              <w:jc w:val="center"/>
              <w:rPr>
                <w:sz w:val="20"/>
              </w:rPr>
            </w:pPr>
            <w:r>
              <w:rPr>
                <w:sz w:val="20"/>
              </w:rPr>
              <w:t>396</w:t>
            </w:r>
          </w:p>
        </w:tc>
        <w:tc>
          <w:tcPr>
            <w:tcW w:w="1080" w:type="dxa"/>
            <w:noWrap/>
            <w:tcMar>
              <w:top w:w="16" w:type="dxa"/>
              <w:left w:w="16" w:type="dxa"/>
              <w:bottom w:w="0" w:type="dxa"/>
              <w:right w:w="16" w:type="dxa"/>
            </w:tcMar>
            <w:vAlign w:val="bottom"/>
          </w:tcPr>
          <w:p w:rsidR="00707035" w:rsidRDefault="00707035" w:rsidP="00707035">
            <w:pPr>
              <w:jc w:val="center"/>
              <w:rPr>
                <w:sz w:val="20"/>
              </w:rPr>
            </w:pPr>
            <w:r>
              <w:rPr>
                <w:sz w:val="20"/>
              </w:rPr>
              <w:t>558</w:t>
            </w:r>
          </w:p>
        </w:tc>
        <w:tc>
          <w:tcPr>
            <w:tcW w:w="1620" w:type="dxa"/>
            <w:noWrap/>
            <w:tcMar>
              <w:top w:w="16" w:type="dxa"/>
              <w:left w:w="16" w:type="dxa"/>
              <w:bottom w:w="0" w:type="dxa"/>
              <w:right w:w="16" w:type="dxa"/>
            </w:tcMar>
            <w:vAlign w:val="bottom"/>
          </w:tcPr>
          <w:p w:rsidR="00707035" w:rsidRDefault="00707035" w:rsidP="00707035">
            <w:pPr>
              <w:jc w:val="center"/>
              <w:rPr>
                <w:sz w:val="20"/>
              </w:rPr>
            </w:pPr>
            <w:r>
              <w:rPr>
                <w:sz w:val="20"/>
              </w:rPr>
              <w:t>0.710</w:t>
            </w:r>
          </w:p>
        </w:tc>
        <w:tc>
          <w:tcPr>
            <w:tcW w:w="900" w:type="dxa"/>
            <w:noWrap/>
            <w:tcMar>
              <w:top w:w="16" w:type="dxa"/>
              <w:left w:w="16" w:type="dxa"/>
              <w:bottom w:w="0" w:type="dxa"/>
              <w:right w:w="16" w:type="dxa"/>
            </w:tcMar>
            <w:vAlign w:val="bottom"/>
          </w:tcPr>
          <w:p w:rsidR="00707035" w:rsidRDefault="00707035" w:rsidP="00707035">
            <w:pPr>
              <w:jc w:val="center"/>
              <w:rPr>
                <w:sz w:val="20"/>
              </w:rPr>
            </w:pPr>
            <w:r>
              <w:rPr>
                <w:sz w:val="20"/>
              </w:rPr>
              <w:t>106.4</w:t>
            </w:r>
          </w:p>
        </w:tc>
        <w:tc>
          <w:tcPr>
            <w:tcW w:w="1260" w:type="dxa"/>
            <w:vAlign w:val="bottom"/>
          </w:tcPr>
          <w:p w:rsidR="00707035" w:rsidRDefault="00707035" w:rsidP="00707035">
            <w:pPr>
              <w:jc w:val="center"/>
              <w:rPr>
                <w:sz w:val="20"/>
              </w:rPr>
            </w:pPr>
            <w:r>
              <w:rPr>
                <w:sz w:val="20"/>
              </w:rPr>
              <w:t>87.3</w:t>
            </w:r>
          </w:p>
        </w:tc>
        <w:tc>
          <w:tcPr>
            <w:tcW w:w="1620" w:type="dxa"/>
            <w:vAlign w:val="bottom"/>
          </w:tcPr>
          <w:p w:rsidR="00707035" w:rsidRDefault="00707035" w:rsidP="00707035">
            <w:pPr>
              <w:jc w:val="center"/>
              <w:rPr>
                <w:sz w:val="20"/>
              </w:rPr>
            </w:pPr>
            <w:r>
              <w:rPr>
                <w:sz w:val="20"/>
              </w:rPr>
              <w:t>1.219</w:t>
            </w:r>
          </w:p>
        </w:tc>
        <w:tc>
          <w:tcPr>
            <w:tcW w:w="1093" w:type="dxa"/>
            <w:vAlign w:val="bottom"/>
          </w:tcPr>
          <w:p w:rsidR="00707035" w:rsidRDefault="00707035" w:rsidP="00707035">
            <w:pPr>
              <w:jc w:val="center"/>
              <w:rPr>
                <w:sz w:val="20"/>
              </w:rPr>
            </w:pPr>
            <w:r>
              <w:rPr>
                <w:sz w:val="20"/>
              </w:rPr>
              <w:t>196</w:t>
            </w:r>
          </w:p>
        </w:tc>
        <w:tc>
          <w:tcPr>
            <w:tcW w:w="1093" w:type="dxa"/>
            <w:vAlign w:val="bottom"/>
          </w:tcPr>
          <w:p w:rsidR="00707035" w:rsidRDefault="00707035" w:rsidP="00707035">
            <w:pPr>
              <w:jc w:val="center"/>
              <w:rPr>
                <w:sz w:val="20"/>
              </w:rPr>
            </w:pPr>
            <w:r>
              <w:rPr>
                <w:sz w:val="20"/>
              </w:rPr>
              <w:t>109</w:t>
            </w:r>
          </w:p>
        </w:tc>
        <w:tc>
          <w:tcPr>
            <w:tcW w:w="1594" w:type="dxa"/>
            <w:vAlign w:val="bottom"/>
          </w:tcPr>
          <w:p w:rsidR="00707035" w:rsidRDefault="00707035" w:rsidP="00707035">
            <w:pPr>
              <w:jc w:val="center"/>
              <w:rPr>
                <w:sz w:val="20"/>
              </w:rPr>
            </w:pPr>
            <w:r>
              <w:rPr>
                <w:sz w:val="20"/>
              </w:rPr>
              <w:t>1.798</w:t>
            </w:r>
          </w:p>
        </w:tc>
      </w:tr>
      <w:tr w:rsidR="00707035" w:rsidTr="00707035">
        <w:trPr>
          <w:trHeight w:val="20"/>
        </w:trPr>
        <w:tc>
          <w:tcPr>
            <w:tcW w:w="1636" w:type="dxa"/>
            <w:noWrap/>
            <w:tcMar>
              <w:top w:w="16" w:type="dxa"/>
              <w:left w:w="16" w:type="dxa"/>
              <w:bottom w:w="0" w:type="dxa"/>
              <w:right w:w="16" w:type="dxa"/>
            </w:tcMar>
            <w:vAlign w:val="bottom"/>
          </w:tcPr>
          <w:p w:rsidR="00707035" w:rsidRDefault="00707035" w:rsidP="00707035">
            <w:pPr>
              <w:rPr>
                <w:sz w:val="20"/>
              </w:rPr>
            </w:pPr>
          </w:p>
        </w:tc>
        <w:tc>
          <w:tcPr>
            <w:tcW w:w="900" w:type="dxa"/>
            <w:noWrap/>
            <w:tcMar>
              <w:top w:w="16" w:type="dxa"/>
              <w:left w:w="16" w:type="dxa"/>
              <w:bottom w:w="0" w:type="dxa"/>
              <w:right w:w="16" w:type="dxa"/>
            </w:tcMar>
            <w:vAlign w:val="bottom"/>
          </w:tcPr>
          <w:p w:rsidR="00707035" w:rsidRDefault="00707035" w:rsidP="00707035">
            <w:pPr>
              <w:rPr>
                <w:sz w:val="20"/>
              </w:rPr>
            </w:pPr>
          </w:p>
        </w:tc>
        <w:tc>
          <w:tcPr>
            <w:tcW w:w="1080" w:type="dxa"/>
            <w:noWrap/>
            <w:tcMar>
              <w:top w:w="16" w:type="dxa"/>
              <w:left w:w="16" w:type="dxa"/>
              <w:bottom w:w="0" w:type="dxa"/>
              <w:right w:w="16" w:type="dxa"/>
            </w:tcMar>
            <w:vAlign w:val="bottom"/>
          </w:tcPr>
          <w:p w:rsidR="00707035" w:rsidRDefault="00707035" w:rsidP="00707035">
            <w:pPr>
              <w:rPr>
                <w:sz w:val="20"/>
              </w:rPr>
            </w:pPr>
            <w:proofErr w:type="spellStart"/>
            <w:r>
              <w:rPr>
                <w:sz w:val="20"/>
              </w:rPr>
              <w:t>Gmean</w:t>
            </w:r>
            <w:proofErr w:type="spellEnd"/>
          </w:p>
        </w:tc>
        <w:tc>
          <w:tcPr>
            <w:tcW w:w="1620" w:type="dxa"/>
            <w:noWrap/>
            <w:tcMar>
              <w:top w:w="16" w:type="dxa"/>
              <w:left w:w="16" w:type="dxa"/>
              <w:bottom w:w="0" w:type="dxa"/>
              <w:right w:w="16" w:type="dxa"/>
            </w:tcMar>
            <w:vAlign w:val="bottom"/>
          </w:tcPr>
          <w:p w:rsidR="00707035" w:rsidRDefault="00707035" w:rsidP="00707035">
            <w:pPr>
              <w:jc w:val="center"/>
              <w:rPr>
                <w:sz w:val="20"/>
              </w:rPr>
            </w:pPr>
            <w:r>
              <w:rPr>
                <w:sz w:val="20"/>
              </w:rPr>
              <w:t>0.614</w:t>
            </w:r>
          </w:p>
        </w:tc>
        <w:tc>
          <w:tcPr>
            <w:tcW w:w="900" w:type="dxa"/>
            <w:noWrap/>
            <w:tcMar>
              <w:top w:w="16" w:type="dxa"/>
              <w:left w:w="16" w:type="dxa"/>
              <w:bottom w:w="0" w:type="dxa"/>
              <w:right w:w="16" w:type="dxa"/>
            </w:tcMar>
            <w:vAlign w:val="bottom"/>
          </w:tcPr>
          <w:p w:rsidR="00707035" w:rsidRDefault="00707035" w:rsidP="00707035">
            <w:pPr>
              <w:jc w:val="center"/>
              <w:rPr>
                <w:sz w:val="20"/>
              </w:rPr>
            </w:pPr>
          </w:p>
        </w:tc>
        <w:tc>
          <w:tcPr>
            <w:tcW w:w="1260" w:type="dxa"/>
          </w:tcPr>
          <w:p w:rsidR="00707035" w:rsidRDefault="00707035" w:rsidP="00707035">
            <w:pPr>
              <w:jc w:val="center"/>
              <w:rPr>
                <w:sz w:val="20"/>
              </w:rPr>
            </w:pPr>
          </w:p>
        </w:tc>
        <w:tc>
          <w:tcPr>
            <w:tcW w:w="1620" w:type="dxa"/>
            <w:vAlign w:val="bottom"/>
          </w:tcPr>
          <w:p w:rsidR="00707035" w:rsidRDefault="00707035" w:rsidP="00707035">
            <w:pPr>
              <w:pStyle w:val="xl26"/>
              <w:overflowPunct w:val="0"/>
              <w:autoSpaceDE w:val="0"/>
              <w:autoSpaceDN w:val="0"/>
              <w:adjustRightInd w:val="0"/>
              <w:spacing w:before="0" w:beforeAutospacing="0" w:after="0" w:afterAutospacing="0"/>
              <w:textAlignment w:val="baseline"/>
              <w:rPr>
                <w:rFonts w:ascii="Times New Roman" w:hAnsi="Times New Roman"/>
              </w:rPr>
            </w:pPr>
            <w:r>
              <w:rPr>
                <w:rFonts w:ascii="Times New Roman" w:hAnsi="Times New Roman"/>
              </w:rPr>
              <w:t>1.212</w:t>
            </w:r>
          </w:p>
        </w:tc>
        <w:tc>
          <w:tcPr>
            <w:tcW w:w="1093" w:type="dxa"/>
          </w:tcPr>
          <w:p w:rsidR="00707035" w:rsidRDefault="00707035" w:rsidP="00707035">
            <w:pPr>
              <w:jc w:val="center"/>
              <w:rPr>
                <w:sz w:val="20"/>
              </w:rPr>
            </w:pPr>
          </w:p>
        </w:tc>
        <w:tc>
          <w:tcPr>
            <w:tcW w:w="1093" w:type="dxa"/>
          </w:tcPr>
          <w:p w:rsidR="00707035" w:rsidRDefault="00707035" w:rsidP="00707035">
            <w:pPr>
              <w:jc w:val="center"/>
              <w:rPr>
                <w:sz w:val="20"/>
              </w:rPr>
            </w:pPr>
          </w:p>
        </w:tc>
        <w:tc>
          <w:tcPr>
            <w:tcW w:w="1594" w:type="dxa"/>
            <w:vAlign w:val="bottom"/>
          </w:tcPr>
          <w:p w:rsidR="00707035" w:rsidRDefault="00707035" w:rsidP="00707035">
            <w:pPr>
              <w:pStyle w:val="xl26"/>
              <w:overflowPunct w:val="0"/>
              <w:autoSpaceDE w:val="0"/>
              <w:autoSpaceDN w:val="0"/>
              <w:adjustRightInd w:val="0"/>
              <w:spacing w:before="0" w:beforeAutospacing="0" w:after="0" w:afterAutospacing="0"/>
              <w:textAlignment w:val="baseline"/>
              <w:rPr>
                <w:rFonts w:ascii="Times New Roman" w:hAnsi="Times New Roman"/>
              </w:rPr>
            </w:pPr>
            <w:r>
              <w:rPr>
                <w:rFonts w:ascii="Times New Roman" w:hAnsi="Times New Roman"/>
              </w:rPr>
              <w:t>1.931</w:t>
            </w:r>
          </w:p>
        </w:tc>
      </w:tr>
      <w:tr w:rsidR="00707035" w:rsidTr="00707035">
        <w:trPr>
          <w:trHeight w:val="20"/>
        </w:trPr>
        <w:tc>
          <w:tcPr>
            <w:tcW w:w="1636" w:type="dxa"/>
            <w:noWrap/>
            <w:tcMar>
              <w:top w:w="16" w:type="dxa"/>
              <w:left w:w="16" w:type="dxa"/>
              <w:bottom w:w="0" w:type="dxa"/>
              <w:right w:w="16" w:type="dxa"/>
            </w:tcMar>
            <w:vAlign w:val="bottom"/>
          </w:tcPr>
          <w:p w:rsidR="00707035" w:rsidRDefault="00707035" w:rsidP="00707035">
            <w:pPr>
              <w:rPr>
                <w:sz w:val="20"/>
              </w:rPr>
            </w:pPr>
          </w:p>
        </w:tc>
        <w:tc>
          <w:tcPr>
            <w:tcW w:w="900" w:type="dxa"/>
            <w:noWrap/>
            <w:tcMar>
              <w:top w:w="16" w:type="dxa"/>
              <w:left w:w="16" w:type="dxa"/>
              <w:bottom w:w="0" w:type="dxa"/>
              <w:right w:w="16" w:type="dxa"/>
            </w:tcMar>
            <w:vAlign w:val="bottom"/>
          </w:tcPr>
          <w:p w:rsidR="00707035" w:rsidRDefault="00707035" w:rsidP="00707035">
            <w:pPr>
              <w:rPr>
                <w:sz w:val="20"/>
              </w:rPr>
            </w:pPr>
          </w:p>
        </w:tc>
        <w:tc>
          <w:tcPr>
            <w:tcW w:w="1080" w:type="dxa"/>
            <w:noWrap/>
            <w:tcMar>
              <w:top w:w="16" w:type="dxa"/>
              <w:left w:w="16" w:type="dxa"/>
              <w:bottom w:w="0" w:type="dxa"/>
              <w:right w:w="16" w:type="dxa"/>
            </w:tcMar>
            <w:vAlign w:val="bottom"/>
          </w:tcPr>
          <w:p w:rsidR="00707035" w:rsidRDefault="00707035" w:rsidP="00707035">
            <w:pPr>
              <w:rPr>
                <w:sz w:val="20"/>
              </w:rPr>
            </w:pPr>
            <w:r>
              <w:rPr>
                <w:sz w:val="20"/>
              </w:rPr>
              <w:t>GSD</w:t>
            </w:r>
          </w:p>
        </w:tc>
        <w:tc>
          <w:tcPr>
            <w:tcW w:w="1620" w:type="dxa"/>
            <w:noWrap/>
            <w:tcMar>
              <w:top w:w="16" w:type="dxa"/>
              <w:left w:w="16" w:type="dxa"/>
              <w:bottom w:w="0" w:type="dxa"/>
              <w:right w:w="16" w:type="dxa"/>
            </w:tcMar>
            <w:vAlign w:val="bottom"/>
          </w:tcPr>
          <w:p w:rsidR="00707035" w:rsidRDefault="00707035" w:rsidP="00707035">
            <w:pPr>
              <w:jc w:val="center"/>
              <w:rPr>
                <w:sz w:val="20"/>
              </w:rPr>
            </w:pPr>
            <w:r>
              <w:rPr>
                <w:sz w:val="20"/>
              </w:rPr>
              <w:t>1.694</w:t>
            </w:r>
          </w:p>
        </w:tc>
        <w:tc>
          <w:tcPr>
            <w:tcW w:w="900" w:type="dxa"/>
            <w:noWrap/>
            <w:tcMar>
              <w:top w:w="16" w:type="dxa"/>
              <w:left w:w="16" w:type="dxa"/>
              <w:bottom w:w="0" w:type="dxa"/>
              <w:right w:w="16" w:type="dxa"/>
            </w:tcMar>
            <w:vAlign w:val="bottom"/>
          </w:tcPr>
          <w:p w:rsidR="00707035" w:rsidRDefault="00707035" w:rsidP="00707035">
            <w:pPr>
              <w:jc w:val="center"/>
              <w:rPr>
                <w:sz w:val="20"/>
              </w:rPr>
            </w:pPr>
          </w:p>
        </w:tc>
        <w:tc>
          <w:tcPr>
            <w:tcW w:w="1260" w:type="dxa"/>
          </w:tcPr>
          <w:p w:rsidR="00707035" w:rsidRDefault="00707035" w:rsidP="00707035">
            <w:pPr>
              <w:jc w:val="center"/>
              <w:rPr>
                <w:sz w:val="20"/>
              </w:rPr>
            </w:pPr>
          </w:p>
        </w:tc>
        <w:tc>
          <w:tcPr>
            <w:tcW w:w="1620" w:type="dxa"/>
            <w:vAlign w:val="bottom"/>
          </w:tcPr>
          <w:p w:rsidR="00707035" w:rsidRDefault="00707035" w:rsidP="00707035">
            <w:pPr>
              <w:jc w:val="center"/>
              <w:rPr>
                <w:sz w:val="20"/>
              </w:rPr>
            </w:pPr>
            <w:r>
              <w:rPr>
                <w:sz w:val="20"/>
              </w:rPr>
              <w:t>1.603</w:t>
            </w:r>
          </w:p>
        </w:tc>
        <w:tc>
          <w:tcPr>
            <w:tcW w:w="1093" w:type="dxa"/>
          </w:tcPr>
          <w:p w:rsidR="00707035" w:rsidRDefault="00707035" w:rsidP="00707035">
            <w:pPr>
              <w:jc w:val="center"/>
              <w:rPr>
                <w:sz w:val="20"/>
              </w:rPr>
            </w:pPr>
          </w:p>
        </w:tc>
        <w:tc>
          <w:tcPr>
            <w:tcW w:w="1093" w:type="dxa"/>
          </w:tcPr>
          <w:p w:rsidR="00707035" w:rsidRDefault="00707035" w:rsidP="00707035">
            <w:pPr>
              <w:jc w:val="center"/>
              <w:rPr>
                <w:sz w:val="20"/>
              </w:rPr>
            </w:pPr>
          </w:p>
        </w:tc>
        <w:tc>
          <w:tcPr>
            <w:tcW w:w="1594" w:type="dxa"/>
            <w:vAlign w:val="bottom"/>
          </w:tcPr>
          <w:p w:rsidR="00707035" w:rsidRDefault="00707035" w:rsidP="00707035">
            <w:pPr>
              <w:jc w:val="center"/>
              <w:rPr>
                <w:sz w:val="20"/>
              </w:rPr>
            </w:pPr>
            <w:r>
              <w:rPr>
                <w:sz w:val="20"/>
              </w:rPr>
              <w:t>2.272</w:t>
            </w:r>
          </w:p>
        </w:tc>
      </w:tr>
      <w:tr w:rsidR="00707035" w:rsidTr="00707035">
        <w:trPr>
          <w:trHeight w:val="20"/>
        </w:trPr>
        <w:tc>
          <w:tcPr>
            <w:tcW w:w="1636" w:type="dxa"/>
            <w:noWrap/>
            <w:tcMar>
              <w:top w:w="16" w:type="dxa"/>
              <w:left w:w="16" w:type="dxa"/>
              <w:bottom w:w="0" w:type="dxa"/>
              <w:right w:w="16" w:type="dxa"/>
            </w:tcMar>
            <w:vAlign w:val="bottom"/>
          </w:tcPr>
          <w:p w:rsidR="00707035" w:rsidRDefault="00707035" w:rsidP="00707035">
            <w:pPr>
              <w:rPr>
                <w:sz w:val="20"/>
              </w:rPr>
            </w:pPr>
          </w:p>
        </w:tc>
        <w:tc>
          <w:tcPr>
            <w:tcW w:w="900" w:type="dxa"/>
            <w:noWrap/>
            <w:tcMar>
              <w:top w:w="16" w:type="dxa"/>
              <w:left w:w="16" w:type="dxa"/>
              <w:bottom w:w="0" w:type="dxa"/>
              <w:right w:w="16" w:type="dxa"/>
            </w:tcMar>
            <w:vAlign w:val="bottom"/>
          </w:tcPr>
          <w:p w:rsidR="00707035" w:rsidRDefault="00707035" w:rsidP="00707035">
            <w:pPr>
              <w:rPr>
                <w:sz w:val="20"/>
              </w:rPr>
            </w:pPr>
          </w:p>
        </w:tc>
        <w:tc>
          <w:tcPr>
            <w:tcW w:w="1080" w:type="dxa"/>
            <w:noWrap/>
            <w:tcMar>
              <w:top w:w="16" w:type="dxa"/>
              <w:left w:w="16" w:type="dxa"/>
              <w:bottom w:w="0" w:type="dxa"/>
              <w:right w:w="16" w:type="dxa"/>
            </w:tcMar>
            <w:vAlign w:val="bottom"/>
          </w:tcPr>
          <w:p w:rsidR="00707035" w:rsidRDefault="00707035" w:rsidP="00707035">
            <w:pPr>
              <w:rPr>
                <w:sz w:val="20"/>
              </w:rPr>
            </w:pPr>
            <w:proofErr w:type="spellStart"/>
            <w:r>
              <w:rPr>
                <w:sz w:val="20"/>
              </w:rPr>
              <w:t>Gstd</w:t>
            </w:r>
            <w:proofErr w:type="spellEnd"/>
            <w:r>
              <w:rPr>
                <w:sz w:val="20"/>
              </w:rPr>
              <w:t xml:space="preserve"> error</w:t>
            </w:r>
          </w:p>
        </w:tc>
        <w:tc>
          <w:tcPr>
            <w:tcW w:w="1620" w:type="dxa"/>
            <w:noWrap/>
            <w:tcMar>
              <w:top w:w="16" w:type="dxa"/>
              <w:left w:w="16" w:type="dxa"/>
              <w:bottom w:w="0" w:type="dxa"/>
              <w:right w:w="16" w:type="dxa"/>
            </w:tcMar>
            <w:vAlign w:val="bottom"/>
          </w:tcPr>
          <w:p w:rsidR="00707035" w:rsidRDefault="00707035" w:rsidP="00707035">
            <w:pPr>
              <w:jc w:val="center"/>
              <w:rPr>
                <w:sz w:val="20"/>
              </w:rPr>
            </w:pPr>
            <w:r>
              <w:rPr>
                <w:sz w:val="20"/>
              </w:rPr>
              <w:t>1.205</w:t>
            </w:r>
          </w:p>
        </w:tc>
        <w:tc>
          <w:tcPr>
            <w:tcW w:w="900" w:type="dxa"/>
            <w:noWrap/>
            <w:tcMar>
              <w:top w:w="16" w:type="dxa"/>
              <w:left w:w="16" w:type="dxa"/>
              <w:bottom w:w="0" w:type="dxa"/>
              <w:right w:w="16" w:type="dxa"/>
            </w:tcMar>
            <w:vAlign w:val="bottom"/>
          </w:tcPr>
          <w:p w:rsidR="00707035" w:rsidRDefault="00707035" w:rsidP="00707035">
            <w:pPr>
              <w:jc w:val="center"/>
              <w:rPr>
                <w:sz w:val="20"/>
              </w:rPr>
            </w:pPr>
          </w:p>
        </w:tc>
        <w:tc>
          <w:tcPr>
            <w:tcW w:w="1260" w:type="dxa"/>
          </w:tcPr>
          <w:p w:rsidR="00707035" w:rsidRDefault="00707035" w:rsidP="00707035">
            <w:pPr>
              <w:jc w:val="center"/>
              <w:rPr>
                <w:sz w:val="20"/>
              </w:rPr>
            </w:pPr>
          </w:p>
        </w:tc>
        <w:tc>
          <w:tcPr>
            <w:tcW w:w="1620" w:type="dxa"/>
            <w:vAlign w:val="bottom"/>
          </w:tcPr>
          <w:p w:rsidR="00707035" w:rsidRDefault="00707035" w:rsidP="00707035">
            <w:pPr>
              <w:jc w:val="center"/>
              <w:rPr>
                <w:sz w:val="20"/>
              </w:rPr>
            </w:pPr>
            <w:r>
              <w:rPr>
                <w:sz w:val="20"/>
              </w:rPr>
              <w:t>1.212</w:t>
            </w:r>
          </w:p>
        </w:tc>
        <w:tc>
          <w:tcPr>
            <w:tcW w:w="1093" w:type="dxa"/>
          </w:tcPr>
          <w:p w:rsidR="00707035" w:rsidRDefault="00707035" w:rsidP="00707035">
            <w:pPr>
              <w:jc w:val="center"/>
              <w:rPr>
                <w:sz w:val="20"/>
              </w:rPr>
            </w:pPr>
          </w:p>
        </w:tc>
        <w:tc>
          <w:tcPr>
            <w:tcW w:w="1093" w:type="dxa"/>
          </w:tcPr>
          <w:p w:rsidR="00707035" w:rsidRDefault="00707035" w:rsidP="00707035">
            <w:pPr>
              <w:jc w:val="center"/>
              <w:rPr>
                <w:sz w:val="20"/>
              </w:rPr>
            </w:pPr>
          </w:p>
        </w:tc>
        <w:tc>
          <w:tcPr>
            <w:tcW w:w="1594" w:type="dxa"/>
            <w:vAlign w:val="bottom"/>
          </w:tcPr>
          <w:p w:rsidR="00707035" w:rsidRDefault="00707035" w:rsidP="00707035">
            <w:pPr>
              <w:jc w:val="center"/>
              <w:rPr>
                <w:sz w:val="20"/>
              </w:rPr>
            </w:pPr>
            <w:r>
              <w:rPr>
                <w:sz w:val="20"/>
              </w:rPr>
              <w:t>1.337</w:t>
            </w:r>
          </w:p>
        </w:tc>
      </w:tr>
    </w:tbl>
    <w:p w:rsidR="00707035" w:rsidRDefault="00707035" w:rsidP="00707035">
      <w:pPr>
        <w:spacing w:before="240"/>
        <w:sectPr w:rsidR="00707035" w:rsidSect="00707035">
          <w:pgSz w:w="15840" w:h="12240" w:orient="landscape"/>
          <w:pgMar w:top="1440" w:right="1440" w:bottom="1440" w:left="1440" w:header="720" w:footer="720" w:gutter="0"/>
          <w:cols w:space="720"/>
          <w:titlePg/>
        </w:sectPr>
      </w:pPr>
      <w:r>
        <w:t xml:space="preserve">Data source:  </w:t>
      </w:r>
      <w:proofErr w:type="spellStart"/>
      <w:r>
        <w:t>Loebstein</w:t>
      </w:r>
      <w:proofErr w:type="spellEnd"/>
      <w:r>
        <w:t xml:space="preserve"> et al., 1997</w:t>
      </w:r>
    </w:p>
    <w:p w:rsidR="00FE0200" w:rsidRDefault="00FE0200" w:rsidP="00FE0200">
      <w:pPr>
        <w:spacing w:before="240"/>
        <w:rPr>
          <w:rFonts w:ascii="Times New Roman" w:hAnsi="Times New Roman" w:cs="Times New Roman"/>
        </w:rPr>
      </w:pPr>
      <w:r>
        <w:rPr>
          <w:rFonts w:ascii="Times New Roman" w:hAnsi="Times New Roman" w:cs="Times New Roman"/>
        </w:rPr>
        <w:lastRenderedPageBreak/>
        <w:t>The implication of these data for the central estimate of the liver tissue metabolic clearance rate for women in late pregnancy is</w:t>
      </w:r>
    </w:p>
    <w:p w:rsidR="00FE0200" w:rsidRDefault="00FE0200" w:rsidP="00FE0200">
      <w:pPr>
        <w:spacing w:before="240"/>
        <w:rPr>
          <w:rFonts w:ascii="Times New Roman" w:hAnsi="Times New Roman" w:cs="Times New Roman"/>
        </w:rPr>
      </w:pPr>
      <w:r w:rsidRPr="00F60232">
        <w:rPr>
          <w:rFonts w:ascii="Times New Roman" w:hAnsi="Times New Roman" w:cs="Times New Roman"/>
          <w:position w:val="-4"/>
        </w:rPr>
        <w:object w:dxaOrig="180" w:dyaOrig="260">
          <v:shape id="_x0000_i1029" type="#_x0000_t75" style="width:9.5pt;height:13.5pt" o:ole="">
            <v:imagedata r:id="rId16" o:title=""/>
          </v:shape>
          <o:OLEObject Type="Embed" ProgID="Equation.3" ShapeID="_x0000_i1029" DrawAspect="Content" ObjectID="_1424517514" r:id="rId17"/>
        </w:object>
      </w:r>
      <w:r w:rsidRPr="00034514">
        <w:rPr>
          <w:rFonts w:ascii="Times New Roman" w:hAnsi="Times New Roman" w:cs="Times New Roman"/>
          <w:position w:val="-60"/>
        </w:rPr>
        <w:object w:dxaOrig="15080" w:dyaOrig="1320">
          <v:shape id="_x0000_i1030" type="#_x0000_t75" style="width:454pt;height:38pt" o:ole="">
            <v:imagedata r:id="rId18" o:title=""/>
          </v:shape>
          <o:OLEObject Type="Embed" ProgID="Equation.3" ShapeID="_x0000_i1030" DrawAspect="Content" ObjectID="_1424517515" r:id="rId19"/>
        </w:object>
      </w:r>
    </w:p>
    <w:p w:rsidR="00FE0200" w:rsidRDefault="00FE0200" w:rsidP="00FE0200">
      <w:pPr>
        <w:spacing w:before="240"/>
        <w:rPr>
          <w:rFonts w:ascii="Times New Roman" w:hAnsi="Times New Roman" w:cs="Times New Roman"/>
        </w:rPr>
      </w:pPr>
    </w:p>
    <w:p w:rsidR="00FE0200" w:rsidRDefault="00FE0200" w:rsidP="00FE0200">
      <w:pPr>
        <w:spacing w:before="240"/>
        <w:rPr>
          <w:rFonts w:ascii="Times New Roman" w:hAnsi="Times New Roman" w:cs="Times New Roman"/>
        </w:rPr>
      </w:pPr>
      <w:r>
        <w:rPr>
          <w:rFonts w:ascii="Times New Roman" w:hAnsi="Times New Roman" w:cs="Times New Roman"/>
        </w:rPr>
        <w:t>The combined uncertainties in these multiplicative factors are assessed via the addition of lognormal variances (using base 10 logs)</w:t>
      </w:r>
    </w:p>
    <w:p w:rsidR="00FE0200" w:rsidRDefault="00FE0200" w:rsidP="00FE0200">
      <w:pPr>
        <w:spacing w:before="240"/>
        <w:rPr>
          <w:rFonts w:ascii="Times New Roman" w:hAnsi="Times New Roman" w:cs="Times New Roman"/>
        </w:rPr>
      </w:pPr>
      <w:r>
        <w:rPr>
          <w:rFonts w:ascii="Times New Roman" w:hAnsi="Times New Roman" w:cs="Times New Roman"/>
        </w:rPr>
        <w:t xml:space="preserve">Variance in </w:t>
      </w:r>
      <w:proofErr w:type="gramStart"/>
      <w:r>
        <w:rPr>
          <w:rFonts w:ascii="Times New Roman" w:hAnsi="Times New Roman" w:cs="Times New Roman"/>
        </w:rPr>
        <w:t>log(</w:t>
      </w:r>
      <w:proofErr w:type="gramEnd"/>
      <w:r>
        <w:rPr>
          <w:rFonts w:ascii="Times New Roman" w:hAnsi="Times New Roman" w:cs="Times New Roman"/>
        </w:rPr>
        <w:t>loss rate) = 0.085 (</w:t>
      </w:r>
      <w:proofErr w:type="spellStart"/>
      <w:r>
        <w:rPr>
          <w:rFonts w:ascii="Times New Roman" w:hAnsi="Times New Roman" w:cs="Times New Roman"/>
        </w:rPr>
        <w:t>microsome</w:t>
      </w:r>
      <w:proofErr w:type="spellEnd"/>
      <w:r>
        <w:rPr>
          <w:rFonts w:ascii="Times New Roman" w:hAnsi="Times New Roman" w:cs="Times New Roman"/>
        </w:rPr>
        <w:t xml:space="preserve">-based clearance) + 0.127 (pregnant/non-pregnant metabolism ratio) + 0.225 (in vivo/in vitro </w:t>
      </w:r>
      <w:proofErr w:type="spellStart"/>
      <w:r>
        <w:rPr>
          <w:rFonts w:ascii="Times New Roman" w:hAnsi="Times New Roman" w:cs="Times New Roman"/>
        </w:rPr>
        <w:t>microsome</w:t>
      </w:r>
      <w:proofErr w:type="spellEnd"/>
      <w:r>
        <w:rPr>
          <w:rFonts w:ascii="Times New Roman" w:hAnsi="Times New Roman" w:cs="Times New Roman"/>
        </w:rPr>
        <w:t xml:space="preserve"> bias correction) = 0.438</w:t>
      </w:r>
    </w:p>
    <w:p w:rsidR="00FE0200" w:rsidRDefault="00FE0200" w:rsidP="00FE0200">
      <w:pPr>
        <w:spacing w:before="240"/>
        <w:rPr>
          <w:rFonts w:ascii="Times New Roman" w:hAnsi="Times New Roman" w:cs="Times New Roman"/>
        </w:rPr>
      </w:pPr>
      <w:r>
        <w:rPr>
          <w:rFonts w:ascii="Times New Roman" w:hAnsi="Times New Roman" w:cs="Times New Roman"/>
        </w:rPr>
        <w:t>This variance translates into a geometric standard deviation for these sources of uncertainty of about</w:t>
      </w:r>
    </w:p>
    <w:p w:rsidR="00FE0200" w:rsidRDefault="00FE0200" w:rsidP="00FE0200">
      <w:pPr>
        <w:spacing w:before="240"/>
        <w:rPr>
          <w:rFonts w:ascii="Times New Roman" w:hAnsi="Times New Roman" w:cs="Times New Roman"/>
        </w:rPr>
      </w:pPr>
      <w:r w:rsidRPr="000B36BF">
        <w:rPr>
          <w:rFonts w:ascii="Times New Roman" w:hAnsi="Times New Roman" w:cs="Times New Roman"/>
          <w:position w:val="-6"/>
        </w:rPr>
        <w:object w:dxaOrig="1440" w:dyaOrig="360">
          <v:shape id="_x0000_i1031" type="#_x0000_t75" style="width:1in;height:18pt" o:ole="">
            <v:imagedata r:id="rId20" o:title=""/>
          </v:shape>
          <o:OLEObject Type="Embed" ProgID="Equation.3" ShapeID="_x0000_i1031" DrawAspect="Content" ObjectID="_1424517516" r:id="rId21"/>
        </w:object>
      </w:r>
    </w:p>
    <w:p w:rsidR="00FE0200" w:rsidRDefault="00FE0200" w:rsidP="00FE0200">
      <w:pPr>
        <w:spacing w:before="240"/>
        <w:rPr>
          <w:rFonts w:ascii="Times New Roman" w:hAnsi="Times New Roman" w:cs="Times New Roman"/>
        </w:rPr>
      </w:pPr>
      <w:r>
        <w:rPr>
          <w:rFonts w:ascii="Times New Roman" w:hAnsi="Times New Roman" w:cs="Times New Roman"/>
        </w:rPr>
        <w:t>This yields a ± 1 standard error range for the liver metabolic loss rate of 0.186 – 3.91/min.  (Of course, because of the dependency on liver/blood partition coefficient in the equation above, these metabolism ranges differ for different partition coefficient values).</w:t>
      </w:r>
    </w:p>
    <w:p w:rsidR="00FE0200" w:rsidRPr="00333E13" w:rsidRDefault="00FE0200" w:rsidP="00FE0200">
      <w:pPr>
        <w:spacing w:before="240"/>
        <w:rPr>
          <w:rFonts w:ascii="Times New Roman" w:hAnsi="Times New Roman" w:cs="Times New Roman"/>
        </w:rPr>
      </w:pPr>
      <w:r w:rsidRPr="00333E13">
        <w:rPr>
          <w:rFonts w:ascii="Times New Roman" w:hAnsi="Times New Roman" w:cs="Times New Roman"/>
        </w:rPr>
        <w:t xml:space="preserve">One further step is required to convert these clearance and partition coefficient data into expectations for the ratio of exposure to blood levels.  This is to incorporate them into variants of the </w:t>
      </w:r>
      <w:proofErr w:type="spellStart"/>
      <w:r w:rsidRPr="00333E13">
        <w:rPr>
          <w:rFonts w:ascii="Times New Roman" w:hAnsi="Times New Roman" w:cs="Times New Roman"/>
        </w:rPr>
        <w:t>Timchalk</w:t>
      </w:r>
      <w:proofErr w:type="spellEnd"/>
      <w:r w:rsidRPr="00333E13">
        <w:rPr>
          <w:rFonts w:ascii="Times New Roman" w:hAnsi="Times New Roman" w:cs="Times New Roman"/>
        </w:rPr>
        <w:t xml:space="preserve"> et al. PBPK model</w:t>
      </w:r>
      <w:r>
        <w:rPr>
          <w:rFonts w:ascii="Times New Roman" w:hAnsi="Times New Roman" w:cs="Times New Roman"/>
        </w:rPr>
        <w:t xml:space="preserve"> for </w:t>
      </w:r>
      <w:proofErr w:type="spellStart"/>
      <w:r>
        <w:rPr>
          <w:rFonts w:ascii="Times New Roman" w:hAnsi="Times New Roman" w:cs="Times New Roman"/>
        </w:rPr>
        <w:t>chlorpyrifos</w:t>
      </w:r>
      <w:proofErr w:type="spellEnd"/>
      <w:r w:rsidRPr="00333E13">
        <w:rPr>
          <w:rFonts w:ascii="Times New Roman" w:hAnsi="Times New Roman" w:cs="Times New Roman"/>
        </w:rPr>
        <w:t xml:space="preserve">.  For this purpose, we created a simplified version of the model, implemented in Microsoft Excel for transparency and ease of use.  As observed by </w:t>
      </w:r>
      <w:proofErr w:type="spellStart"/>
      <w:r w:rsidRPr="00333E13">
        <w:rPr>
          <w:rFonts w:ascii="Times New Roman" w:hAnsi="Times New Roman" w:cs="Times New Roman"/>
        </w:rPr>
        <w:t>Mosquin</w:t>
      </w:r>
      <w:proofErr w:type="spellEnd"/>
      <w:r w:rsidRPr="00333E13">
        <w:rPr>
          <w:rFonts w:ascii="Times New Roman" w:hAnsi="Times New Roman" w:cs="Times New Roman"/>
        </w:rPr>
        <w:t xml:space="preserve"> et al.</w:t>
      </w:r>
      <w:r>
        <w:rPr>
          <w:rFonts w:ascii="Times New Roman" w:hAnsi="Times New Roman" w:cs="Times New Roman"/>
        </w:rPr>
        <w:t>,</w:t>
      </w:r>
      <w:r w:rsidR="004375A8" w:rsidRPr="00333E13">
        <w:rPr>
          <w:rFonts w:ascii="Times New Roman" w:hAnsi="Times New Roman" w:cs="Times New Roman"/>
        </w:rPr>
        <w:fldChar w:fldCharType="begin"/>
      </w:r>
      <w:r w:rsidR="002B6D02">
        <w:rPr>
          <w:rFonts w:ascii="Times New Roman" w:hAnsi="Times New Roman" w:cs="Times New Roman"/>
        </w:rPr>
        <w:instrText xml:space="preserve"> ADDIN EN.CITE &lt;EndNote&gt;&lt;Cite&gt;&lt;Author&gt;Mosquin&lt;/Author&gt;&lt;Year&gt;2009&lt;/Year&gt;&lt;RecNum&gt;37&lt;/RecNum&gt;&lt;DisplayText&gt;&lt;style face="superscript"&gt;(18)&lt;/style&gt;&lt;/DisplayText&gt;&lt;record&gt;&lt;rec-number&gt;37&lt;/rec-number&gt;&lt;foreign-keys&gt;&lt;key app="EN" db-id="xftvffafmwpe0fedf055pwp7ts95t0ta0v0a"&gt;37&lt;/key&gt;&lt;/foreign-keys&gt;&lt;ref-type name="Journal Article"&gt;17&lt;/ref-type&gt;&lt;contributors&gt;&lt;authors&gt;&lt;author&gt;Mosquin, P. L.&lt;/author&gt;&lt;author&gt;Licata, A. C.&lt;/author&gt;&lt;author&gt;Liu, B.&lt;/author&gt;&lt;author&gt;Sumner, S. C.&lt;/author&gt;&lt;author&gt;Okino, M. S.&lt;/author&gt;&lt;/authors&gt;&lt;/contributors&gt;&lt;auth-address&gt;RTI International, Research Triangle Park, North Carolina, USA.&lt;/auth-address&gt;&lt;titles&gt;&lt;title&gt;Reconstructing exposures from small samples using physiologically based pharmacokinetic models and multiple biomarkers&lt;/title&gt;&lt;secondary-title&gt;J Expo Sci Environ Epidemiol&lt;/secondary-title&gt;&lt;/titles&gt;&lt;periodical&gt;&lt;full-title&gt;J Expo Sci Environ Epidemiol&lt;/full-title&gt;&lt;/periodical&gt;&lt;pages&gt;284-97&lt;/pages&gt;&lt;volume&gt;19&lt;/volume&gt;&lt;number&gt;3&lt;/number&gt;&lt;edition&gt;2008/05/08&lt;/edition&gt;&lt;keywords&gt;&lt;keyword&gt;Biological Markers/blood/*metabolism/urine&lt;/keyword&gt;&lt;keyword&gt;Chlorpyrifos/blood/*pharmacokinetics/urine&lt;/keyword&gt;&lt;keyword&gt;Humans&lt;/keyword&gt;&lt;keyword&gt;Insecticides/blood/*pharmacokinetics/urine&lt;/keyword&gt;&lt;keyword&gt;Likelihood Functions&lt;/keyword&gt;&lt;keyword&gt;*Models, Theoretical&lt;/keyword&gt;&lt;keyword&gt;Reproducibility of Results&lt;/keyword&gt;&lt;/keywords&gt;&lt;dates&gt;&lt;year&gt;2009&lt;/year&gt;&lt;pub-dates&gt;&lt;date&gt;Mar&lt;/date&gt;&lt;/pub-dates&gt;&lt;/dates&gt;&lt;isbn&gt;1559-064X (Electronic)&lt;/isbn&gt;&lt;accession-num&gt;18461092&lt;/accession-num&gt;&lt;urls&gt;&lt;related-urls&gt;&lt;url&gt;http://www.ncbi.nlm.nih.gov/entrez/query.fcgi?cmd=Retrieve&amp;amp;db=PubMed&amp;amp;dopt=Citation&amp;amp;list_uids=18461092&lt;/url&gt;&lt;/related-urls&gt;&lt;/urls&gt;&lt;electronic-resource-num&gt;jes200817 [pii]&amp;#xD;10.1038/jes.2008.17&lt;/electronic-resource-num&gt;&lt;language&gt;eng&lt;/language&gt;&lt;/record&gt;&lt;/Cite&gt;&lt;/EndNote&gt;</w:instrText>
      </w:r>
      <w:r w:rsidR="004375A8" w:rsidRPr="00333E13">
        <w:rPr>
          <w:rFonts w:ascii="Times New Roman" w:hAnsi="Times New Roman" w:cs="Times New Roman"/>
        </w:rPr>
        <w:fldChar w:fldCharType="separate"/>
      </w:r>
      <w:r w:rsidR="002B6D02" w:rsidRPr="002B6D02">
        <w:rPr>
          <w:rFonts w:ascii="Times New Roman" w:hAnsi="Times New Roman" w:cs="Times New Roman"/>
          <w:noProof/>
          <w:vertAlign w:val="superscript"/>
        </w:rPr>
        <w:t>(</w:t>
      </w:r>
      <w:hyperlink w:anchor="_ENREF_18" w:tooltip="Mosquin, 2009 #37" w:history="1">
        <w:r w:rsidR="002B6D02" w:rsidRPr="002B6D02">
          <w:rPr>
            <w:rFonts w:ascii="Times New Roman" w:hAnsi="Times New Roman" w:cs="Times New Roman"/>
            <w:noProof/>
            <w:vertAlign w:val="superscript"/>
          </w:rPr>
          <w:t>18</w:t>
        </w:r>
      </w:hyperlink>
      <w:r w:rsidR="002B6D02" w:rsidRPr="002B6D02">
        <w:rPr>
          <w:rFonts w:ascii="Times New Roman" w:hAnsi="Times New Roman" w:cs="Times New Roman"/>
          <w:noProof/>
          <w:vertAlign w:val="superscript"/>
        </w:rPr>
        <w:t>)</w:t>
      </w:r>
      <w:r w:rsidR="004375A8" w:rsidRPr="00333E13">
        <w:rPr>
          <w:rFonts w:ascii="Times New Roman" w:hAnsi="Times New Roman" w:cs="Times New Roman"/>
        </w:rPr>
        <w:fldChar w:fldCharType="end"/>
      </w:r>
      <w:r w:rsidRPr="00333E13">
        <w:rPr>
          <w:rFonts w:ascii="Times New Roman" w:hAnsi="Times New Roman" w:cs="Times New Roman"/>
        </w:rPr>
        <w:t xml:space="preserve"> ordinary conditions of human exposure are not expected to approach those needed to come near to the Km’s of the various enzymes involved in CPF and CPF-</w:t>
      </w:r>
      <w:proofErr w:type="spellStart"/>
      <w:r w:rsidRPr="00333E13">
        <w:rPr>
          <w:rFonts w:ascii="Times New Roman" w:hAnsi="Times New Roman" w:cs="Times New Roman"/>
        </w:rPr>
        <w:t>oxon</w:t>
      </w:r>
      <w:proofErr w:type="spellEnd"/>
      <w:r w:rsidRPr="00333E13">
        <w:rPr>
          <w:rFonts w:ascii="Times New Roman" w:hAnsi="Times New Roman" w:cs="Times New Roman"/>
        </w:rPr>
        <w:t xml:space="preserve"> metabolism.  Therefore the </w:t>
      </w:r>
      <w:proofErr w:type="spellStart"/>
      <w:r w:rsidRPr="00333E13">
        <w:rPr>
          <w:rFonts w:ascii="Times New Roman" w:hAnsi="Times New Roman" w:cs="Times New Roman"/>
        </w:rPr>
        <w:t>saturable</w:t>
      </w:r>
      <w:proofErr w:type="spellEnd"/>
      <w:r w:rsidRPr="00333E13">
        <w:rPr>
          <w:rFonts w:ascii="Times New Roman" w:hAnsi="Times New Roman" w:cs="Times New Roman"/>
        </w:rPr>
        <w:t xml:space="preserve"> forms for the metabolism equations were replaced by </w:t>
      </w:r>
    </w:p>
    <w:p w:rsidR="00FE0200" w:rsidRPr="00333E13" w:rsidRDefault="00FE0200" w:rsidP="00FE0200">
      <w:pPr>
        <w:rPr>
          <w:rFonts w:ascii="Times New Roman" w:hAnsi="Times New Roman" w:cs="Times New Roman"/>
        </w:rPr>
      </w:pPr>
    </w:p>
    <w:p w:rsidR="00FE0200" w:rsidRPr="00333E13" w:rsidRDefault="00FE0200" w:rsidP="00FE0200">
      <w:pPr>
        <w:rPr>
          <w:rFonts w:ascii="Times New Roman" w:hAnsi="Times New Roman" w:cs="Times New Roman"/>
        </w:rPr>
      </w:pPr>
      <w:r w:rsidRPr="00333E13">
        <w:rPr>
          <w:rFonts w:ascii="Times New Roman" w:hAnsi="Times New Roman" w:cs="Times New Roman"/>
        </w:rPr>
        <w:t>Loss of CPF from liver (µmoles/hr) = time step (hr)*CPF µmoles in liver*</w:t>
      </w:r>
      <w:r>
        <w:rPr>
          <w:rFonts w:ascii="Times New Roman" w:hAnsi="Times New Roman" w:cs="Times New Roman"/>
        </w:rPr>
        <w:t>K</w:t>
      </w:r>
    </w:p>
    <w:p w:rsidR="00FE0200" w:rsidRPr="00333E13" w:rsidRDefault="00FE0200" w:rsidP="00FE0200">
      <w:pPr>
        <w:rPr>
          <w:rFonts w:ascii="Times New Roman" w:hAnsi="Times New Roman" w:cs="Times New Roman"/>
        </w:rPr>
      </w:pPr>
    </w:p>
    <w:p w:rsidR="00FE0200" w:rsidRPr="00333E13" w:rsidRDefault="00FE0200" w:rsidP="00FE0200">
      <w:pPr>
        <w:rPr>
          <w:rFonts w:ascii="Times New Roman" w:hAnsi="Times New Roman" w:cs="Times New Roman"/>
        </w:rPr>
      </w:pPr>
    </w:p>
    <w:p w:rsidR="00FE0200" w:rsidRDefault="00FE0200" w:rsidP="00FE0200">
      <w:pPr>
        <w:rPr>
          <w:rFonts w:ascii="Times New Roman" w:hAnsi="Times New Roman" w:cs="Times New Roman"/>
        </w:rPr>
      </w:pPr>
      <w:r w:rsidRPr="00333E13">
        <w:rPr>
          <w:rFonts w:ascii="Times New Roman" w:hAnsi="Times New Roman" w:cs="Times New Roman"/>
        </w:rPr>
        <w:t>Where</w:t>
      </w:r>
      <w:r>
        <w:rPr>
          <w:rFonts w:ascii="Times New Roman" w:hAnsi="Times New Roman" w:cs="Times New Roman"/>
        </w:rPr>
        <w:t xml:space="preserve"> K is a simple rate constant (</w:t>
      </w:r>
      <w:r w:rsidRPr="00333E13">
        <w:rPr>
          <w:rFonts w:ascii="Times New Roman" w:hAnsi="Times New Roman" w:cs="Times New Roman"/>
        </w:rPr>
        <w:t xml:space="preserve">in units of 1/hr) </w:t>
      </w:r>
      <w:r>
        <w:rPr>
          <w:rFonts w:ascii="Times New Roman" w:hAnsi="Times New Roman" w:cs="Times New Roman"/>
        </w:rPr>
        <w:t xml:space="preserve">representing the sum of conversion </w:t>
      </w:r>
      <w:r w:rsidRPr="00333E13">
        <w:rPr>
          <w:rFonts w:ascii="Times New Roman" w:hAnsi="Times New Roman" w:cs="Times New Roman"/>
        </w:rPr>
        <w:t>of CPF t</w:t>
      </w:r>
      <w:r>
        <w:rPr>
          <w:rFonts w:ascii="Times New Roman" w:hAnsi="Times New Roman" w:cs="Times New Roman"/>
        </w:rPr>
        <w:t>o TCP and CPF-Oxon</w:t>
      </w:r>
      <w:r w:rsidRPr="00333E13">
        <w:rPr>
          <w:rFonts w:ascii="Times New Roman" w:hAnsi="Times New Roman" w:cs="Times New Roman"/>
        </w:rPr>
        <w:t xml:space="preserve">.  </w:t>
      </w:r>
    </w:p>
    <w:p w:rsidR="00FE0200" w:rsidRDefault="00FE0200" w:rsidP="00FE0200">
      <w:pPr>
        <w:pStyle w:val="Body"/>
      </w:pPr>
      <w:r>
        <w:t xml:space="preserve">The results of running this model for 400 hours of continuous dosing (at 153 </w:t>
      </w:r>
      <w:proofErr w:type="spellStart"/>
      <w:r>
        <w:t>ng</w:t>
      </w:r>
      <w:proofErr w:type="spellEnd"/>
      <w:r>
        <w:t xml:space="preserve">/kg-day) with ± 1 log standard deviation variations in metabolism rates and tissue/blood partition coefficients are shown in Table </w:t>
      </w:r>
      <w:r w:rsidR="0035017C">
        <w:t>S7</w:t>
      </w:r>
      <w:r>
        <w:t xml:space="preserve">. It can be seen that in this case the effect of uncertainty in partition coefficients is quite small relative to the metabolism rate uncertainty.  This is because changes in </w:t>
      </w:r>
    </w:p>
    <w:p w:rsidR="00FE0200" w:rsidRDefault="00FE0200" w:rsidP="00FE0200">
      <w:pPr>
        <w:rPr>
          <w:b/>
        </w:rPr>
      </w:pPr>
    </w:p>
    <w:p w:rsidR="0035017C" w:rsidRDefault="0035017C">
      <w:pPr>
        <w:rPr>
          <w:b/>
        </w:rPr>
      </w:pPr>
      <w:r>
        <w:rPr>
          <w:b/>
        </w:rPr>
        <w:br w:type="page"/>
      </w:r>
    </w:p>
    <w:p w:rsidR="00635E94" w:rsidRDefault="00635E94">
      <w:pPr>
        <w:rPr>
          <w:rFonts w:ascii="Times New Roman" w:hAnsi="Times New Roman" w:cs="Times New Roman"/>
          <w:b/>
        </w:rPr>
      </w:pPr>
    </w:p>
    <w:p w:rsidR="00FE0200" w:rsidRDefault="00FE0200" w:rsidP="00FE0200">
      <w:pPr>
        <w:rPr>
          <w:rFonts w:ascii="Times New Roman" w:hAnsi="Times New Roman" w:cs="Times New Roman"/>
        </w:rPr>
      </w:pPr>
      <w:r w:rsidRPr="0035017C">
        <w:rPr>
          <w:rFonts w:ascii="Times New Roman" w:hAnsi="Times New Roman" w:cs="Times New Roman"/>
          <w:b/>
        </w:rPr>
        <w:t xml:space="preserve">Table </w:t>
      </w:r>
      <w:r w:rsidR="0035017C" w:rsidRPr="0035017C">
        <w:rPr>
          <w:rFonts w:ascii="Times New Roman" w:hAnsi="Times New Roman" w:cs="Times New Roman"/>
          <w:b/>
        </w:rPr>
        <w:t>S7</w:t>
      </w:r>
      <w:r w:rsidRPr="0035017C">
        <w:rPr>
          <w:rFonts w:ascii="Times New Roman" w:hAnsi="Times New Roman" w:cs="Times New Roman"/>
          <w:b/>
        </w:rPr>
        <w:t xml:space="preserve">.  </w:t>
      </w:r>
      <w:r w:rsidRPr="0035017C">
        <w:rPr>
          <w:rFonts w:ascii="Times New Roman" w:hAnsi="Times New Roman" w:cs="Times New Roman"/>
        </w:rPr>
        <w:t xml:space="preserve">Expected Consequences of ± 1 Standard Error Variations in Pregnancy-Related Metabolism Rates and Tissue/Blood Partition Coefficients for the Low Dose CPF Blood Level to External Dose Conversion Factor for Ingestion </w:t>
      </w:r>
      <w:proofErr w:type="spellStart"/>
      <w:r w:rsidRPr="0035017C">
        <w:rPr>
          <w:rFonts w:ascii="Times New Roman" w:hAnsi="Times New Roman" w:cs="Times New Roman"/>
        </w:rPr>
        <w:t>vs</w:t>
      </w:r>
      <w:proofErr w:type="spellEnd"/>
      <w:r w:rsidRPr="0035017C">
        <w:rPr>
          <w:rFonts w:ascii="Times New Roman" w:hAnsi="Times New Roman" w:cs="Times New Roman"/>
        </w:rPr>
        <w:t xml:space="preserve"> Inhalation Routes of Exposure, Inferred from </w:t>
      </w:r>
      <w:proofErr w:type="spellStart"/>
      <w:r w:rsidRPr="0035017C">
        <w:rPr>
          <w:rFonts w:ascii="Times New Roman" w:hAnsi="Times New Roman" w:cs="Times New Roman"/>
        </w:rPr>
        <w:t>Microsome</w:t>
      </w:r>
      <w:proofErr w:type="spellEnd"/>
      <w:r w:rsidRPr="0035017C">
        <w:rPr>
          <w:rFonts w:ascii="Times New Roman" w:hAnsi="Times New Roman" w:cs="Times New Roman"/>
        </w:rPr>
        <w:t xml:space="preserve"> Measurements of Liver Metabolism and Pregnancy-Related Changes in Metabolism</w:t>
      </w:r>
    </w:p>
    <w:p w:rsidR="0035017C" w:rsidRPr="0035017C" w:rsidRDefault="0035017C" w:rsidP="00FE0200">
      <w:pPr>
        <w:rPr>
          <w:rFonts w:ascii="Times New Roman" w:hAnsi="Times New Roman" w:cs="Times New Roman"/>
          <w:b/>
        </w:rPr>
      </w:pPr>
    </w:p>
    <w:tbl>
      <w:tblPr>
        <w:tblW w:w="9300" w:type="dxa"/>
        <w:tblInd w:w="93" w:type="dxa"/>
        <w:tblBorders>
          <w:bottom w:val="single" w:sz="24" w:space="0" w:color="auto"/>
        </w:tblBorders>
        <w:tblLayout w:type="fixed"/>
        <w:tblLook w:val="04A0"/>
      </w:tblPr>
      <w:tblGrid>
        <w:gridCol w:w="3705"/>
        <w:gridCol w:w="355"/>
        <w:gridCol w:w="1365"/>
        <w:gridCol w:w="355"/>
        <w:gridCol w:w="1385"/>
        <w:gridCol w:w="355"/>
        <w:gridCol w:w="1425"/>
        <w:gridCol w:w="355"/>
      </w:tblGrid>
      <w:tr w:rsidR="00FE0200" w:rsidRPr="0035017C" w:rsidTr="003C352E">
        <w:trPr>
          <w:trHeight w:val="240"/>
        </w:trPr>
        <w:tc>
          <w:tcPr>
            <w:tcW w:w="4060" w:type="dxa"/>
            <w:gridSpan w:val="2"/>
            <w:shd w:val="clear" w:color="auto" w:fill="auto"/>
            <w:noWrap/>
            <w:vAlign w:val="bottom"/>
            <w:hideMark/>
          </w:tcPr>
          <w:p w:rsidR="00FE0200" w:rsidRPr="0035017C" w:rsidRDefault="00FE0200" w:rsidP="003C352E">
            <w:pPr>
              <w:rPr>
                <w:rFonts w:ascii="Times New Roman" w:eastAsia="Times New Roman" w:hAnsi="Times New Roman" w:cs="Times New Roman"/>
                <w:b/>
                <w:sz w:val="20"/>
                <w:szCs w:val="20"/>
                <w:lang w:eastAsia="en-US"/>
              </w:rPr>
            </w:pPr>
          </w:p>
        </w:tc>
        <w:tc>
          <w:tcPr>
            <w:tcW w:w="1720" w:type="dxa"/>
            <w:gridSpan w:val="2"/>
            <w:shd w:val="clear" w:color="auto" w:fill="auto"/>
            <w:noWrap/>
            <w:vAlign w:val="bottom"/>
            <w:hideMark/>
          </w:tcPr>
          <w:p w:rsidR="00FE0200" w:rsidRPr="0035017C" w:rsidRDefault="00FE0200" w:rsidP="003C352E">
            <w:pPr>
              <w:rPr>
                <w:rFonts w:ascii="Times New Roman" w:eastAsia="Times New Roman" w:hAnsi="Times New Roman" w:cs="Times New Roman"/>
                <w:sz w:val="20"/>
                <w:szCs w:val="20"/>
                <w:lang w:eastAsia="en-US"/>
              </w:rPr>
            </w:pPr>
            <w:r w:rsidRPr="0035017C">
              <w:rPr>
                <w:rFonts w:ascii="Times New Roman" w:eastAsia="Times New Roman" w:hAnsi="Times New Roman" w:cs="Times New Roman"/>
                <w:sz w:val="20"/>
                <w:szCs w:val="20"/>
                <w:lang w:eastAsia="en-US"/>
              </w:rPr>
              <w:t xml:space="preserve">cent </w:t>
            </w:r>
            <w:proofErr w:type="spellStart"/>
            <w:r w:rsidRPr="0035017C">
              <w:rPr>
                <w:rFonts w:ascii="Times New Roman" w:eastAsia="Times New Roman" w:hAnsi="Times New Roman" w:cs="Times New Roman"/>
                <w:sz w:val="20"/>
                <w:szCs w:val="20"/>
                <w:lang w:eastAsia="en-US"/>
              </w:rPr>
              <w:t>est</w:t>
            </w:r>
            <w:proofErr w:type="spellEnd"/>
            <w:r w:rsidRPr="0035017C">
              <w:rPr>
                <w:rFonts w:ascii="Times New Roman" w:eastAsia="Times New Roman" w:hAnsi="Times New Roman" w:cs="Times New Roman"/>
                <w:sz w:val="20"/>
                <w:szCs w:val="20"/>
                <w:lang w:eastAsia="en-US"/>
              </w:rPr>
              <w:t xml:space="preserve"> </w:t>
            </w:r>
            <w:proofErr w:type="spellStart"/>
            <w:r w:rsidRPr="0035017C">
              <w:rPr>
                <w:rFonts w:ascii="Times New Roman" w:eastAsia="Times New Roman" w:hAnsi="Times New Roman" w:cs="Times New Roman"/>
                <w:sz w:val="20"/>
                <w:szCs w:val="20"/>
                <w:lang w:eastAsia="en-US"/>
              </w:rPr>
              <w:t>metab</w:t>
            </w:r>
            <w:proofErr w:type="spellEnd"/>
            <w:r w:rsidRPr="0035017C">
              <w:rPr>
                <w:rFonts w:ascii="Times New Roman" w:eastAsia="Times New Roman" w:hAnsi="Times New Roman" w:cs="Times New Roman"/>
                <w:sz w:val="20"/>
                <w:szCs w:val="20"/>
                <w:lang w:eastAsia="en-US"/>
              </w:rPr>
              <w:t xml:space="preserve"> </w:t>
            </w:r>
            <w:proofErr w:type="spellStart"/>
            <w:r w:rsidRPr="0035017C">
              <w:rPr>
                <w:rFonts w:ascii="Times New Roman" w:eastAsia="Times New Roman" w:hAnsi="Times New Roman" w:cs="Times New Roman"/>
                <w:sz w:val="20"/>
                <w:szCs w:val="20"/>
                <w:lang w:eastAsia="en-US"/>
              </w:rPr>
              <w:t>preg</w:t>
            </w:r>
            <w:proofErr w:type="spellEnd"/>
          </w:p>
        </w:tc>
        <w:tc>
          <w:tcPr>
            <w:tcW w:w="1740" w:type="dxa"/>
            <w:gridSpan w:val="2"/>
            <w:shd w:val="clear" w:color="auto" w:fill="auto"/>
            <w:noWrap/>
            <w:vAlign w:val="bottom"/>
            <w:hideMark/>
          </w:tcPr>
          <w:p w:rsidR="00FE0200" w:rsidRPr="0035017C" w:rsidRDefault="00FE0200" w:rsidP="003C352E">
            <w:pPr>
              <w:rPr>
                <w:rFonts w:ascii="Times New Roman" w:eastAsia="Times New Roman" w:hAnsi="Times New Roman" w:cs="Times New Roman"/>
                <w:sz w:val="20"/>
                <w:szCs w:val="20"/>
                <w:lang w:eastAsia="en-US"/>
              </w:rPr>
            </w:pPr>
            <w:r w:rsidRPr="0035017C">
              <w:rPr>
                <w:rFonts w:ascii="Times New Roman" w:eastAsia="Times New Roman" w:hAnsi="Times New Roman" w:cs="Times New Roman"/>
                <w:sz w:val="20"/>
                <w:szCs w:val="20"/>
                <w:lang w:eastAsia="en-US"/>
              </w:rPr>
              <w:t xml:space="preserve">"-1 SD </w:t>
            </w:r>
            <w:proofErr w:type="spellStart"/>
            <w:r w:rsidRPr="0035017C">
              <w:rPr>
                <w:rFonts w:ascii="Times New Roman" w:eastAsia="Times New Roman" w:hAnsi="Times New Roman" w:cs="Times New Roman"/>
                <w:sz w:val="20"/>
                <w:szCs w:val="20"/>
                <w:lang w:eastAsia="en-US"/>
              </w:rPr>
              <w:t>metab</w:t>
            </w:r>
            <w:proofErr w:type="spellEnd"/>
            <w:r w:rsidRPr="0035017C">
              <w:rPr>
                <w:rFonts w:ascii="Times New Roman" w:eastAsia="Times New Roman" w:hAnsi="Times New Roman" w:cs="Times New Roman"/>
                <w:sz w:val="20"/>
                <w:szCs w:val="20"/>
                <w:lang w:eastAsia="en-US"/>
              </w:rPr>
              <w:t xml:space="preserve"> </w:t>
            </w:r>
            <w:proofErr w:type="spellStart"/>
            <w:r w:rsidRPr="0035017C">
              <w:rPr>
                <w:rFonts w:ascii="Times New Roman" w:eastAsia="Times New Roman" w:hAnsi="Times New Roman" w:cs="Times New Roman"/>
                <w:sz w:val="20"/>
                <w:szCs w:val="20"/>
                <w:lang w:eastAsia="en-US"/>
              </w:rPr>
              <w:t>preg</w:t>
            </w:r>
            <w:proofErr w:type="spellEnd"/>
            <w:r w:rsidRPr="0035017C">
              <w:rPr>
                <w:rFonts w:ascii="Times New Roman" w:eastAsia="Times New Roman" w:hAnsi="Times New Roman" w:cs="Times New Roman"/>
                <w:sz w:val="20"/>
                <w:szCs w:val="20"/>
                <w:lang w:eastAsia="en-US"/>
              </w:rPr>
              <w:t>"</w:t>
            </w:r>
          </w:p>
        </w:tc>
        <w:tc>
          <w:tcPr>
            <w:tcW w:w="1780" w:type="dxa"/>
            <w:gridSpan w:val="2"/>
            <w:shd w:val="clear" w:color="auto" w:fill="auto"/>
            <w:noWrap/>
            <w:vAlign w:val="bottom"/>
            <w:hideMark/>
          </w:tcPr>
          <w:p w:rsidR="00FE0200" w:rsidRPr="0035017C" w:rsidRDefault="00FE0200" w:rsidP="003C352E">
            <w:pPr>
              <w:rPr>
                <w:rFonts w:ascii="Times New Roman" w:eastAsia="Times New Roman" w:hAnsi="Times New Roman" w:cs="Times New Roman"/>
                <w:sz w:val="20"/>
                <w:szCs w:val="20"/>
                <w:lang w:eastAsia="en-US"/>
              </w:rPr>
            </w:pPr>
            <w:r w:rsidRPr="0035017C">
              <w:rPr>
                <w:rFonts w:ascii="Times New Roman" w:eastAsia="Times New Roman" w:hAnsi="Times New Roman" w:cs="Times New Roman"/>
                <w:sz w:val="20"/>
                <w:szCs w:val="20"/>
                <w:lang w:eastAsia="en-US"/>
              </w:rPr>
              <w:t xml:space="preserve">"+1 SD </w:t>
            </w:r>
            <w:proofErr w:type="spellStart"/>
            <w:r w:rsidRPr="0035017C">
              <w:rPr>
                <w:rFonts w:ascii="Times New Roman" w:eastAsia="Times New Roman" w:hAnsi="Times New Roman" w:cs="Times New Roman"/>
                <w:sz w:val="20"/>
                <w:szCs w:val="20"/>
                <w:lang w:eastAsia="en-US"/>
              </w:rPr>
              <w:t>metab</w:t>
            </w:r>
            <w:proofErr w:type="spellEnd"/>
            <w:r w:rsidRPr="0035017C">
              <w:rPr>
                <w:rFonts w:ascii="Times New Roman" w:eastAsia="Times New Roman" w:hAnsi="Times New Roman" w:cs="Times New Roman"/>
                <w:sz w:val="20"/>
                <w:szCs w:val="20"/>
                <w:lang w:eastAsia="en-US"/>
              </w:rPr>
              <w:t xml:space="preserve"> </w:t>
            </w:r>
            <w:proofErr w:type="spellStart"/>
            <w:r w:rsidRPr="0035017C">
              <w:rPr>
                <w:rFonts w:ascii="Times New Roman" w:eastAsia="Times New Roman" w:hAnsi="Times New Roman" w:cs="Times New Roman"/>
                <w:sz w:val="20"/>
                <w:szCs w:val="20"/>
                <w:lang w:eastAsia="en-US"/>
              </w:rPr>
              <w:t>preg</w:t>
            </w:r>
            <w:proofErr w:type="spellEnd"/>
            <w:r w:rsidRPr="0035017C">
              <w:rPr>
                <w:rFonts w:ascii="Times New Roman" w:eastAsia="Times New Roman" w:hAnsi="Times New Roman" w:cs="Times New Roman"/>
                <w:sz w:val="20"/>
                <w:szCs w:val="20"/>
                <w:lang w:eastAsia="en-US"/>
              </w:rPr>
              <w:t>"</w:t>
            </w:r>
          </w:p>
        </w:tc>
      </w:tr>
      <w:tr w:rsidR="00FE0200" w:rsidRPr="0035017C" w:rsidTr="003C352E">
        <w:trPr>
          <w:gridAfter w:val="1"/>
          <w:wAfter w:w="355" w:type="dxa"/>
          <w:trHeight w:val="240"/>
        </w:trPr>
        <w:tc>
          <w:tcPr>
            <w:tcW w:w="3705" w:type="dxa"/>
            <w:shd w:val="clear" w:color="auto" w:fill="auto"/>
            <w:noWrap/>
            <w:vAlign w:val="bottom"/>
          </w:tcPr>
          <w:p w:rsidR="00FE0200" w:rsidRPr="0035017C" w:rsidRDefault="00FE0200" w:rsidP="003C352E">
            <w:pPr>
              <w:rPr>
                <w:rFonts w:ascii="Times New Roman" w:eastAsia="Times New Roman" w:hAnsi="Times New Roman" w:cs="Times New Roman"/>
                <w:sz w:val="20"/>
                <w:szCs w:val="20"/>
                <w:lang w:eastAsia="en-US"/>
              </w:rPr>
            </w:pPr>
            <w:r w:rsidRPr="0035017C">
              <w:rPr>
                <w:rFonts w:ascii="Times New Roman" w:eastAsia="Times New Roman" w:hAnsi="Times New Roman" w:cs="Times New Roman"/>
                <w:b/>
                <w:sz w:val="20"/>
                <w:szCs w:val="20"/>
                <w:lang w:eastAsia="en-US"/>
              </w:rPr>
              <w:t>Baseline partition coefficients</w:t>
            </w:r>
          </w:p>
        </w:tc>
        <w:tc>
          <w:tcPr>
            <w:tcW w:w="1720" w:type="dxa"/>
            <w:gridSpan w:val="2"/>
            <w:shd w:val="clear" w:color="auto" w:fill="auto"/>
            <w:noWrap/>
            <w:vAlign w:val="bottom"/>
          </w:tcPr>
          <w:p w:rsidR="00FE0200" w:rsidRPr="0035017C" w:rsidRDefault="00FE0200" w:rsidP="003C352E">
            <w:pPr>
              <w:jc w:val="center"/>
              <w:rPr>
                <w:rFonts w:ascii="Times New Roman" w:eastAsia="Times New Roman" w:hAnsi="Times New Roman" w:cs="Times New Roman"/>
                <w:sz w:val="20"/>
                <w:szCs w:val="20"/>
                <w:lang w:eastAsia="en-US"/>
              </w:rPr>
            </w:pPr>
          </w:p>
        </w:tc>
        <w:tc>
          <w:tcPr>
            <w:tcW w:w="1740" w:type="dxa"/>
            <w:gridSpan w:val="2"/>
            <w:shd w:val="clear" w:color="auto" w:fill="auto"/>
            <w:noWrap/>
            <w:vAlign w:val="bottom"/>
          </w:tcPr>
          <w:p w:rsidR="00FE0200" w:rsidRPr="0035017C" w:rsidRDefault="00FE0200" w:rsidP="003C352E">
            <w:pPr>
              <w:jc w:val="center"/>
              <w:rPr>
                <w:rFonts w:ascii="Times New Roman" w:eastAsia="Times New Roman" w:hAnsi="Times New Roman" w:cs="Times New Roman"/>
                <w:sz w:val="20"/>
                <w:szCs w:val="20"/>
                <w:lang w:eastAsia="en-US"/>
              </w:rPr>
            </w:pPr>
          </w:p>
        </w:tc>
        <w:tc>
          <w:tcPr>
            <w:tcW w:w="1780" w:type="dxa"/>
            <w:gridSpan w:val="2"/>
            <w:shd w:val="clear" w:color="auto" w:fill="auto"/>
            <w:noWrap/>
            <w:vAlign w:val="bottom"/>
          </w:tcPr>
          <w:p w:rsidR="00FE0200" w:rsidRPr="0035017C" w:rsidRDefault="00FE0200" w:rsidP="003C352E">
            <w:pPr>
              <w:jc w:val="center"/>
              <w:rPr>
                <w:rFonts w:ascii="Times New Roman" w:eastAsia="Times New Roman" w:hAnsi="Times New Roman" w:cs="Times New Roman"/>
                <w:sz w:val="20"/>
                <w:szCs w:val="20"/>
                <w:lang w:eastAsia="en-US"/>
              </w:rPr>
            </w:pPr>
          </w:p>
        </w:tc>
      </w:tr>
      <w:tr w:rsidR="00FE0200" w:rsidRPr="0035017C" w:rsidTr="003C352E">
        <w:trPr>
          <w:gridAfter w:val="1"/>
          <w:wAfter w:w="355" w:type="dxa"/>
          <w:trHeight w:val="240"/>
        </w:trPr>
        <w:tc>
          <w:tcPr>
            <w:tcW w:w="3705" w:type="dxa"/>
            <w:shd w:val="clear" w:color="auto" w:fill="auto"/>
            <w:noWrap/>
            <w:vAlign w:val="bottom"/>
            <w:hideMark/>
          </w:tcPr>
          <w:p w:rsidR="00FE0200" w:rsidRPr="0035017C" w:rsidRDefault="00FE0200" w:rsidP="003C352E">
            <w:pPr>
              <w:rPr>
                <w:rFonts w:ascii="Times New Roman" w:eastAsia="Times New Roman" w:hAnsi="Times New Roman" w:cs="Times New Roman"/>
                <w:sz w:val="20"/>
                <w:szCs w:val="20"/>
                <w:lang w:eastAsia="en-US"/>
              </w:rPr>
            </w:pPr>
            <w:r w:rsidRPr="0035017C">
              <w:rPr>
                <w:rFonts w:ascii="Times New Roman" w:eastAsia="Times New Roman" w:hAnsi="Times New Roman" w:cs="Times New Roman"/>
                <w:sz w:val="20"/>
                <w:szCs w:val="20"/>
                <w:lang w:eastAsia="en-US"/>
              </w:rPr>
              <w:t>Ingestion</w:t>
            </w:r>
          </w:p>
        </w:tc>
        <w:tc>
          <w:tcPr>
            <w:tcW w:w="1720" w:type="dxa"/>
            <w:gridSpan w:val="2"/>
            <w:shd w:val="clear" w:color="auto" w:fill="auto"/>
            <w:noWrap/>
            <w:vAlign w:val="bottom"/>
            <w:hideMark/>
          </w:tcPr>
          <w:p w:rsidR="00FE0200" w:rsidRPr="0035017C" w:rsidRDefault="00FE0200" w:rsidP="003C352E">
            <w:pPr>
              <w:jc w:val="center"/>
              <w:rPr>
                <w:rFonts w:ascii="Times New Roman" w:eastAsia="Times New Roman" w:hAnsi="Times New Roman" w:cs="Times New Roman"/>
                <w:sz w:val="20"/>
                <w:szCs w:val="20"/>
                <w:lang w:eastAsia="en-US"/>
              </w:rPr>
            </w:pPr>
            <w:r w:rsidRPr="0035017C">
              <w:rPr>
                <w:rFonts w:ascii="Times New Roman" w:eastAsia="Times New Roman" w:hAnsi="Times New Roman" w:cs="Times New Roman"/>
                <w:sz w:val="20"/>
                <w:szCs w:val="20"/>
                <w:lang w:eastAsia="en-US"/>
              </w:rPr>
              <w:t>155.5</w:t>
            </w:r>
          </w:p>
        </w:tc>
        <w:tc>
          <w:tcPr>
            <w:tcW w:w="1740" w:type="dxa"/>
            <w:gridSpan w:val="2"/>
            <w:shd w:val="clear" w:color="auto" w:fill="auto"/>
            <w:noWrap/>
            <w:vAlign w:val="bottom"/>
            <w:hideMark/>
          </w:tcPr>
          <w:p w:rsidR="00FE0200" w:rsidRPr="0035017C" w:rsidRDefault="00FE0200" w:rsidP="003C352E">
            <w:pPr>
              <w:jc w:val="center"/>
              <w:rPr>
                <w:rFonts w:ascii="Times New Roman" w:eastAsia="Times New Roman" w:hAnsi="Times New Roman" w:cs="Times New Roman"/>
                <w:sz w:val="20"/>
                <w:szCs w:val="20"/>
                <w:lang w:eastAsia="en-US"/>
              </w:rPr>
            </w:pPr>
            <w:r w:rsidRPr="0035017C">
              <w:rPr>
                <w:rFonts w:ascii="Times New Roman" w:eastAsia="Times New Roman" w:hAnsi="Times New Roman" w:cs="Times New Roman"/>
                <w:sz w:val="20"/>
                <w:szCs w:val="20"/>
                <w:lang w:eastAsia="en-US"/>
              </w:rPr>
              <w:t>34.7</w:t>
            </w:r>
          </w:p>
        </w:tc>
        <w:tc>
          <w:tcPr>
            <w:tcW w:w="1780" w:type="dxa"/>
            <w:gridSpan w:val="2"/>
            <w:shd w:val="clear" w:color="auto" w:fill="auto"/>
            <w:noWrap/>
            <w:vAlign w:val="bottom"/>
            <w:hideMark/>
          </w:tcPr>
          <w:p w:rsidR="00FE0200" w:rsidRPr="0035017C" w:rsidRDefault="00FE0200" w:rsidP="003C352E">
            <w:pPr>
              <w:jc w:val="center"/>
              <w:rPr>
                <w:rFonts w:ascii="Times New Roman" w:eastAsia="Times New Roman" w:hAnsi="Times New Roman" w:cs="Times New Roman"/>
                <w:sz w:val="20"/>
                <w:szCs w:val="20"/>
                <w:lang w:eastAsia="en-US"/>
              </w:rPr>
            </w:pPr>
            <w:r w:rsidRPr="0035017C">
              <w:rPr>
                <w:rFonts w:ascii="Times New Roman" w:eastAsia="Times New Roman" w:hAnsi="Times New Roman" w:cs="Times New Roman"/>
                <w:sz w:val="20"/>
                <w:szCs w:val="20"/>
                <w:lang w:eastAsia="en-US"/>
              </w:rPr>
              <w:t>709.8</w:t>
            </w:r>
          </w:p>
        </w:tc>
      </w:tr>
      <w:tr w:rsidR="00FE0200" w:rsidRPr="0035017C" w:rsidTr="003C352E">
        <w:trPr>
          <w:gridAfter w:val="1"/>
          <w:wAfter w:w="355" w:type="dxa"/>
          <w:trHeight w:val="240"/>
        </w:trPr>
        <w:tc>
          <w:tcPr>
            <w:tcW w:w="3705" w:type="dxa"/>
            <w:shd w:val="clear" w:color="auto" w:fill="auto"/>
            <w:noWrap/>
            <w:vAlign w:val="bottom"/>
            <w:hideMark/>
          </w:tcPr>
          <w:p w:rsidR="00FE0200" w:rsidRPr="0035017C" w:rsidRDefault="00FE0200" w:rsidP="003C352E">
            <w:pPr>
              <w:rPr>
                <w:rFonts w:ascii="Times New Roman" w:eastAsia="Times New Roman" w:hAnsi="Times New Roman" w:cs="Times New Roman"/>
                <w:sz w:val="20"/>
                <w:szCs w:val="20"/>
                <w:lang w:eastAsia="en-US"/>
              </w:rPr>
            </w:pPr>
            <w:r w:rsidRPr="0035017C">
              <w:rPr>
                <w:rFonts w:ascii="Times New Roman" w:eastAsia="Times New Roman" w:hAnsi="Times New Roman" w:cs="Times New Roman"/>
                <w:sz w:val="20"/>
                <w:szCs w:val="20"/>
                <w:lang w:eastAsia="en-US"/>
              </w:rPr>
              <w:t>Inhalation</w:t>
            </w:r>
          </w:p>
        </w:tc>
        <w:tc>
          <w:tcPr>
            <w:tcW w:w="1720" w:type="dxa"/>
            <w:gridSpan w:val="2"/>
            <w:shd w:val="clear" w:color="auto" w:fill="auto"/>
            <w:noWrap/>
            <w:vAlign w:val="bottom"/>
            <w:hideMark/>
          </w:tcPr>
          <w:p w:rsidR="00FE0200" w:rsidRPr="0035017C" w:rsidRDefault="00FE0200" w:rsidP="003C352E">
            <w:pPr>
              <w:jc w:val="center"/>
              <w:rPr>
                <w:rFonts w:ascii="Times New Roman" w:eastAsia="Times New Roman" w:hAnsi="Times New Roman" w:cs="Times New Roman"/>
                <w:sz w:val="20"/>
                <w:szCs w:val="20"/>
                <w:lang w:eastAsia="en-US"/>
              </w:rPr>
            </w:pPr>
            <w:r w:rsidRPr="0035017C">
              <w:rPr>
                <w:rFonts w:ascii="Times New Roman" w:eastAsia="Times New Roman" w:hAnsi="Times New Roman" w:cs="Times New Roman"/>
                <w:sz w:val="20"/>
                <w:szCs w:val="20"/>
                <w:lang w:eastAsia="en-US"/>
              </w:rPr>
              <w:t>27.0</w:t>
            </w:r>
          </w:p>
        </w:tc>
        <w:tc>
          <w:tcPr>
            <w:tcW w:w="1740" w:type="dxa"/>
            <w:gridSpan w:val="2"/>
            <w:shd w:val="clear" w:color="auto" w:fill="auto"/>
            <w:noWrap/>
            <w:vAlign w:val="bottom"/>
            <w:hideMark/>
          </w:tcPr>
          <w:p w:rsidR="00FE0200" w:rsidRPr="0035017C" w:rsidRDefault="00FE0200" w:rsidP="003C352E">
            <w:pPr>
              <w:jc w:val="center"/>
              <w:rPr>
                <w:rFonts w:ascii="Times New Roman" w:eastAsia="Times New Roman" w:hAnsi="Times New Roman" w:cs="Times New Roman"/>
                <w:sz w:val="20"/>
                <w:szCs w:val="20"/>
                <w:lang w:eastAsia="en-US"/>
              </w:rPr>
            </w:pPr>
            <w:r w:rsidRPr="0035017C">
              <w:rPr>
                <w:rFonts w:ascii="Times New Roman" w:eastAsia="Times New Roman" w:hAnsi="Times New Roman" w:cs="Times New Roman"/>
                <w:sz w:val="20"/>
                <w:szCs w:val="20"/>
                <w:lang w:eastAsia="en-US"/>
              </w:rPr>
              <w:t>17.1</w:t>
            </w:r>
          </w:p>
        </w:tc>
        <w:tc>
          <w:tcPr>
            <w:tcW w:w="1780" w:type="dxa"/>
            <w:gridSpan w:val="2"/>
            <w:shd w:val="clear" w:color="auto" w:fill="auto"/>
            <w:noWrap/>
            <w:vAlign w:val="bottom"/>
            <w:hideMark/>
          </w:tcPr>
          <w:p w:rsidR="00FE0200" w:rsidRPr="0035017C" w:rsidRDefault="00FE0200" w:rsidP="003C352E">
            <w:pPr>
              <w:jc w:val="center"/>
              <w:rPr>
                <w:rFonts w:ascii="Times New Roman" w:eastAsia="Times New Roman" w:hAnsi="Times New Roman" w:cs="Times New Roman"/>
                <w:sz w:val="20"/>
                <w:szCs w:val="20"/>
                <w:lang w:eastAsia="en-US"/>
              </w:rPr>
            </w:pPr>
            <w:r w:rsidRPr="0035017C">
              <w:rPr>
                <w:rFonts w:ascii="Times New Roman" w:eastAsia="Times New Roman" w:hAnsi="Times New Roman" w:cs="Times New Roman"/>
                <w:sz w:val="20"/>
                <w:szCs w:val="20"/>
                <w:lang w:eastAsia="en-US"/>
              </w:rPr>
              <w:t>31.1</w:t>
            </w:r>
          </w:p>
        </w:tc>
      </w:tr>
      <w:tr w:rsidR="00FE0200" w:rsidRPr="0035017C" w:rsidTr="003C352E">
        <w:trPr>
          <w:gridAfter w:val="1"/>
          <w:wAfter w:w="355" w:type="dxa"/>
          <w:trHeight w:val="240"/>
        </w:trPr>
        <w:tc>
          <w:tcPr>
            <w:tcW w:w="3705" w:type="dxa"/>
            <w:shd w:val="clear" w:color="auto" w:fill="auto"/>
            <w:noWrap/>
            <w:vAlign w:val="bottom"/>
            <w:hideMark/>
          </w:tcPr>
          <w:p w:rsidR="00FE0200" w:rsidRPr="0035017C" w:rsidRDefault="00FE0200" w:rsidP="003C352E">
            <w:pPr>
              <w:rPr>
                <w:rFonts w:ascii="Times New Roman" w:eastAsia="Times New Roman" w:hAnsi="Times New Roman" w:cs="Times New Roman"/>
                <w:sz w:val="20"/>
                <w:szCs w:val="20"/>
                <w:lang w:eastAsia="en-US"/>
              </w:rPr>
            </w:pPr>
            <w:r w:rsidRPr="0035017C">
              <w:rPr>
                <w:rFonts w:ascii="Times New Roman" w:eastAsia="Times New Roman" w:hAnsi="Times New Roman" w:cs="Times New Roman"/>
                <w:sz w:val="20"/>
                <w:szCs w:val="20"/>
                <w:lang w:eastAsia="en-US"/>
              </w:rPr>
              <w:t>ingestion/inhalation ratio</w:t>
            </w:r>
          </w:p>
        </w:tc>
        <w:tc>
          <w:tcPr>
            <w:tcW w:w="1720" w:type="dxa"/>
            <w:gridSpan w:val="2"/>
            <w:shd w:val="clear" w:color="auto" w:fill="auto"/>
            <w:noWrap/>
            <w:vAlign w:val="bottom"/>
            <w:hideMark/>
          </w:tcPr>
          <w:p w:rsidR="00FE0200" w:rsidRPr="0035017C" w:rsidRDefault="00FE0200" w:rsidP="003C352E">
            <w:pPr>
              <w:jc w:val="center"/>
              <w:rPr>
                <w:rFonts w:ascii="Times New Roman" w:eastAsia="Times New Roman" w:hAnsi="Times New Roman" w:cs="Times New Roman"/>
                <w:sz w:val="20"/>
                <w:szCs w:val="20"/>
                <w:lang w:eastAsia="en-US"/>
              </w:rPr>
            </w:pPr>
            <w:r w:rsidRPr="0035017C">
              <w:rPr>
                <w:rFonts w:ascii="Times New Roman" w:eastAsia="Times New Roman" w:hAnsi="Times New Roman" w:cs="Times New Roman"/>
                <w:sz w:val="20"/>
                <w:szCs w:val="20"/>
                <w:lang w:eastAsia="en-US"/>
              </w:rPr>
              <w:t>5.7</w:t>
            </w:r>
          </w:p>
        </w:tc>
        <w:tc>
          <w:tcPr>
            <w:tcW w:w="1740" w:type="dxa"/>
            <w:gridSpan w:val="2"/>
            <w:shd w:val="clear" w:color="auto" w:fill="auto"/>
            <w:noWrap/>
            <w:vAlign w:val="bottom"/>
            <w:hideMark/>
          </w:tcPr>
          <w:p w:rsidR="00FE0200" w:rsidRPr="0035017C" w:rsidRDefault="00FE0200" w:rsidP="003C352E">
            <w:pPr>
              <w:jc w:val="center"/>
              <w:rPr>
                <w:rFonts w:ascii="Times New Roman" w:eastAsia="Times New Roman" w:hAnsi="Times New Roman" w:cs="Times New Roman"/>
                <w:sz w:val="20"/>
                <w:szCs w:val="20"/>
                <w:lang w:eastAsia="en-US"/>
              </w:rPr>
            </w:pPr>
            <w:r w:rsidRPr="0035017C">
              <w:rPr>
                <w:rFonts w:ascii="Times New Roman" w:eastAsia="Times New Roman" w:hAnsi="Times New Roman" w:cs="Times New Roman"/>
                <w:sz w:val="20"/>
                <w:szCs w:val="20"/>
                <w:lang w:eastAsia="en-US"/>
              </w:rPr>
              <w:t>2.0</w:t>
            </w:r>
          </w:p>
        </w:tc>
        <w:tc>
          <w:tcPr>
            <w:tcW w:w="1780" w:type="dxa"/>
            <w:gridSpan w:val="2"/>
            <w:shd w:val="clear" w:color="auto" w:fill="auto"/>
            <w:noWrap/>
            <w:vAlign w:val="bottom"/>
            <w:hideMark/>
          </w:tcPr>
          <w:p w:rsidR="00FE0200" w:rsidRPr="0035017C" w:rsidRDefault="00FE0200" w:rsidP="003C352E">
            <w:pPr>
              <w:jc w:val="center"/>
              <w:rPr>
                <w:rFonts w:ascii="Times New Roman" w:eastAsia="Times New Roman" w:hAnsi="Times New Roman" w:cs="Times New Roman"/>
                <w:sz w:val="20"/>
                <w:szCs w:val="20"/>
                <w:lang w:eastAsia="en-US"/>
              </w:rPr>
            </w:pPr>
            <w:r w:rsidRPr="0035017C">
              <w:rPr>
                <w:rFonts w:ascii="Times New Roman" w:eastAsia="Times New Roman" w:hAnsi="Times New Roman" w:cs="Times New Roman"/>
                <w:sz w:val="20"/>
                <w:szCs w:val="20"/>
                <w:lang w:eastAsia="en-US"/>
              </w:rPr>
              <w:t>22.8</w:t>
            </w:r>
          </w:p>
        </w:tc>
      </w:tr>
      <w:tr w:rsidR="00FE0200" w:rsidRPr="0035017C" w:rsidTr="003C352E">
        <w:trPr>
          <w:gridAfter w:val="1"/>
          <w:wAfter w:w="355" w:type="dxa"/>
          <w:trHeight w:val="240"/>
        </w:trPr>
        <w:tc>
          <w:tcPr>
            <w:tcW w:w="3705" w:type="dxa"/>
            <w:shd w:val="clear" w:color="auto" w:fill="auto"/>
            <w:noWrap/>
            <w:vAlign w:val="bottom"/>
            <w:hideMark/>
          </w:tcPr>
          <w:p w:rsidR="00FE0200" w:rsidRPr="0035017C" w:rsidRDefault="00FE0200" w:rsidP="003C352E">
            <w:pPr>
              <w:rPr>
                <w:rFonts w:ascii="Times New Roman" w:eastAsia="Times New Roman" w:hAnsi="Times New Roman" w:cs="Times New Roman"/>
                <w:sz w:val="20"/>
                <w:szCs w:val="20"/>
                <w:lang w:eastAsia="en-US"/>
              </w:rPr>
            </w:pPr>
          </w:p>
        </w:tc>
        <w:tc>
          <w:tcPr>
            <w:tcW w:w="1720" w:type="dxa"/>
            <w:gridSpan w:val="2"/>
            <w:shd w:val="clear" w:color="auto" w:fill="auto"/>
            <w:noWrap/>
            <w:vAlign w:val="bottom"/>
            <w:hideMark/>
          </w:tcPr>
          <w:p w:rsidR="00FE0200" w:rsidRPr="0035017C" w:rsidRDefault="00FE0200" w:rsidP="003C352E">
            <w:pPr>
              <w:jc w:val="center"/>
              <w:rPr>
                <w:rFonts w:ascii="Times New Roman" w:eastAsia="Times New Roman" w:hAnsi="Times New Roman" w:cs="Times New Roman"/>
                <w:sz w:val="20"/>
                <w:szCs w:val="20"/>
                <w:lang w:eastAsia="en-US"/>
              </w:rPr>
            </w:pPr>
          </w:p>
        </w:tc>
        <w:tc>
          <w:tcPr>
            <w:tcW w:w="1740" w:type="dxa"/>
            <w:gridSpan w:val="2"/>
            <w:shd w:val="clear" w:color="auto" w:fill="auto"/>
            <w:noWrap/>
            <w:vAlign w:val="bottom"/>
            <w:hideMark/>
          </w:tcPr>
          <w:p w:rsidR="00FE0200" w:rsidRPr="0035017C" w:rsidRDefault="00FE0200" w:rsidP="003C352E">
            <w:pPr>
              <w:jc w:val="center"/>
              <w:rPr>
                <w:rFonts w:ascii="Times New Roman" w:eastAsia="Times New Roman" w:hAnsi="Times New Roman" w:cs="Times New Roman"/>
                <w:sz w:val="20"/>
                <w:szCs w:val="20"/>
                <w:lang w:eastAsia="en-US"/>
              </w:rPr>
            </w:pPr>
          </w:p>
        </w:tc>
        <w:tc>
          <w:tcPr>
            <w:tcW w:w="1780" w:type="dxa"/>
            <w:gridSpan w:val="2"/>
            <w:shd w:val="clear" w:color="auto" w:fill="auto"/>
            <w:noWrap/>
            <w:vAlign w:val="bottom"/>
            <w:hideMark/>
          </w:tcPr>
          <w:p w:rsidR="00FE0200" w:rsidRPr="0035017C" w:rsidRDefault="00FE0200" w:rsidP="003C352E">
            <w:pPr>
              <w:jc w:val="center"/>
              <w:rPr>
                <w:rFonts w:ascii="Times New Roman" w:eastAsia="Times New Roman" w:hAnsi="Times New Roman" w:cs="Times New Roman"/>
                <w:sz w:val="20"/>
                <w:szCs w:val="20"/>
                <w:lang w:eastAsia="en-US"/>
              </w:rPr>
            </w:pPr>
          </w:p>
        </w:tc>
      </w:tr>
      <w:tr w:rsidR="00FE0200" w:rsidRPr="0035017C" w:rsidTr="003C352E">
        <w:trPr>
          <w:gridAfter w:val="1"/>
          <w:wAfter w:w="355" w:type="dxa"/>
          <w:trHeight w:val="240"/>
        </w:trPr>
        <w:tc>
          <w:tcPr>
            <w:tcW w:w="3705" w:type="dxa"/>
            <w:shd w:val="clear" w:color="auto" w:fill="auto"/>
            <w:noWrap/>
            <w:vAlign w:val="bottom"/>
            <w:hideMark/>
          </w:tcPr>
          <w:p w:rsidR="00FE0200" w:rsidRPr="0035017C" w:rsidRDefault="00FE0200" w:rsidP="003C352E">
            <w:pPr>
              <w:rPr>
                <w:rFonts w:ascii="Times New Roman" w:eastAsia="Times New Roman" w:hAnsi="Times New Roman" w:cs="Times New Roman"/>
                <w:b/>
                <w:sz w:val="20"/>
                <w:szCs w:val="20"/>
                <w:lang w:eastAsia="en-US"/>
              </w:rPr>
            </w:pPr>
            <w:r w:rsidRPr="0035017C">
              <w:rPr>
                <w:rFonts w:ascii="Times New Roman" w:eastAsia="Times New Roman" w:hAnsi="Times New Roman" w:cs="Times New Roman"/>
                <w:b/>
                <w:sz w:val="20"/>
                <w:szCs w:val="20"/>
                <w:lang w:eastAsia="en-US"/>
              </w:rPr>
              <w:t>1 std error low tissue/blood partition coefficients</w:t>
            </w:r>
          </w:p>
        </w:tc>
        <w:tc>
          <w:tcPr>
            <w:tcW w:w="1720" w:type="dxa"/>
            <w:gridSpan w:val="2"/>
            <w:shd w:val="clear" w:color="auto" w:fill="auto"/>
            <w:noWrap/>
            <w:vAlign w:val="bottom"/>
            <w:hideMark/>
          </w:tcPr>
          <w:p w:rsidR="00FE0200" w:rsidRPr="0035017C" w:rsidRDefault="00FE0200" w:rsidP="003C352E">
            <w:pPr>
              <w:jc w:val="center"/>
              <w:rPr>
                <w:rFonts w:ascii="Times New Roman" w:eastAsia="Times New Roman" w:hAnsi="Times New Roman" w:cs="Times New Roman"/>
                <w:sz w:val="20"/>
                <w:szCs w:val="20"/>
                <w:lang w:eastAsia="en-US"/>
              </w:rPr>
            </w:pPr>
          </w:p>
        </w:tc>
        <w:tc>
          <w:tcPr>
            <w:tcW w:w="1740" w:type="dxa"/>
            <w:gridSpan w:val="2"/>
            <w:shd w:val="clear" w:color="auto" w:fill="auto"/>
            <w:noWrap/>
            <w:vAlign w:val="bottom"/>
            <w:hideMark/>
          </w:tcPr>
          <w:p w:rsidR="00FE0200" w:rsidRPr="0035017C" w:rsidRDefault="00FE0200" w:rsidP="003C352E">
            <w:pPr>
              <w:jc w:val="center"/>
              <w:rPr>
                <w:rFonts w:ascii="Times New Roman" w:eastAsia="Times New Roman" w:hAnsi="Times New Roman" w:cs="Times New Roman"/>
                <w:sz w:val="20"/>
                <w:szCs w:val="20"/>
                <w:lang w:eastAsia="en-US"/>
              </w:rPr>
            </w:pPr>
          </w:p>
        </w:tc>
        <w:tc>
          <w:tcPr>
            <w:tcW w:w="1780" w:type="dxa"/>
            <w:gridSpan w:val="2"/>
            <w:shd w:val="clear" w:color="auto" w:fill="auto"/>
            <w:noWrap/>
            <w:vAlign w:val="bottom"/>
            <w:hideMark/>
          </w:tcPr>
          <w:p w:rsidR="00FE0200" w:rsidRPr="0035017C" w:rsidRDefault="00FE0200" w:rsidP="003C352E">
            <w:pPr>
              <w:jc w:val="center"/>
              <w:rPr>
                <w:rFonts w:ascii="Times New Roman" w:eastAsia="Times New Roman" w:hAnsi="Times New Roman" w:cs="Times New Roman"/>
                <w:sz w:val="20"/>
                <w:szCs w:val="20"/>
                <w:lang w:eastAsia="en-US"/>
              </w:rPr>
            </w:pPr>
          </w:p>
        </w:tc>
      </w:tr>
      <w:tr w:rsidR="00FE0200" w:rsidRPr="0035017C" w:rsidTr="003C352E">
        <w:trPr>
          <w:gridAfter w:val="1"/>
          <w:wAfter w:w="355" w:type="dxa"/>
          <w:trHeight w:val="240"/>
        </w:trPr>
        <w:tc>
          <w:tcPr>
            <w:tcW w:w="3705" w:type="dxa"/>
            <w:shd w:val="clear" w:color="auto" w:fill="auto"/>
            <w:noWrap/>
            <w:vAlign w:val="bottom"/>
            <w:hideMark/>
          </w:tcPr>
          <w:p w:rsidR="00FE0200" w:rsidRPr="0035017C" w:rsidRDefault="00FE0200" w:rsidP="003C352E">
            <w:pPr>
              <w:rPr>
                <w:rFonts w:ascii="Times New Roman" w:eastAsia="Times New Roman" w:hAnsi="Times New Roman" w:cs="Times New Roman"/>
                <w:sz w:val="20"/>
                <w:szCs w:val="20"/>
                <w:lang w:eastAsia="en-US"/>
              </w:rPr>
            </w:pPr>
            <w:r w:rsidRPr="0035017C">
              <w:rPr>
                <w:rFonts w:ascii="Times New Roman" w:eastAsia="Times New Roman" w:hAnsi="Times New Roman" w:cs="Times New Roman"/>
                <w:sz w:val="20"/>
                <w:szCs w:val="20"/>
                <w:lang w:eastAsia="en-US"/>
              </w:rPr>
              <w:t>ingestion</w:t>
            </w:r>
          </w:p>
        </w:tc>
        <w:tc>
          <w:tcPr>
            <w:tcW w:w="1720" w:type="dxa"/>
            <w:gridSpan w:val="2"/>
            <w:shd w:val="clear" w:color="auto" w:fill="auto"/>
            <w:noWrap/>
            <w:vAlign w:val="bottom"/>
            <w:hideMark/>
          </w:tcPr>
          <w:p w:rsidR="00FE0200" w:rsidRPr="0035017C" w:rsidRDefault="00FE0200" w:rsidP="003C352E">
            <w:pPr>
              <w:jc w:val="center"/>
              <w:rPr>
                <w:rFonts w:ascii="Times New Roman" w:eastAsia="Times New Roman" w:hAnsi="Times New Roman" w:cs="Times New Roman"/>
                <w:sz w:val="20"/>
                <w:szCs w:val="20"/>
                <w:lang w:eastAsia="en-US"/>
              </w:rPr>
            </w:pPr>
            <w:r w:rsidRPr="0035017C">
              <w:rPr>
                <w:rFonts w:ascii="Times New Roman" w:eastAsia="Times New Roman" w:hAnsi="Times New Roman" w:cs="Times New Roman"/>
                <w:sz w:val="20"/>
                <w:szCs w:val="20"/>
                <w:lang w:eastAsia="en-US"/>
              </w:rPr>
              <w:t>154.4</w:t>
            </w:r>
          </w:p>
        </w:tc>
        <w:tc>
          <w:tcPr>
            <w:tcW w:w="1740" w:type="dxa"/>
            <w:gridSpan w:val="2"/>
            <w:shd w:val="clear" w:color="auto" w:fill="auto"/>
            <w:noWrap/>
            <w:vAlign w:val="bottom"/>
            <w:hideMark/>
          </w:tcPr>
          <w:p w:rsidR="00FE0200" w:rsidRPr="0035017C" w:rsidRDefault="00FE0200" w:rsidP="003C352E">
            <w:pPr>
              <w:jc w:val="center"/>
              <w:rPr>
                <w:rFonts w:ascii="Times New Roman" w:eastAsia="Times New Roman" w:hAnsi="Times New Roman" w:cs="Times New Roman"/>
                <w:sz w:val="20"/>
                <w:szCs w:val="20"/>
                <w:lang w:eastAsia="en-US"/>
              </w:rPr>
            </w:pPr>
            <w:r w:rsidRPr="0035017C">
              <w:rPr>
                <w:rFonts w:ascii="Times New Roman" w:eastAsia="Times New Roman" w:hAnsi="Times New Roman" w:cs="Times New Roman"/>
                <w:sz w:val="20"/>
                <w:szCs w:val="20"/>
                <w:lang w:eastAsia="en-US"/>
              </w:rPr>
              <w:t>34.3</w:t>
            </w:r>
          </w:p>
        </w:tc>
        <w:tc>
          <w:tcPr>
            <w:tcW w:w="1780" w:type="dxa"/>
            <w:gridSpan w:val="2"/>
            <w:shd w:val="clear" w:color="auto" w:fill="auto"/>
            <w:noWrap/>
            <w:vAlign w:val="bottom"/>
            <w:hideMark/>
          </w:tcPr>
          <w:p w:rsidR="00FE0200" w:rsidRPr="0035017C" w:rsidRDefault="00FE0200" w:rsidP="003C352E">
            <w:pPr>
              <w:jc w:val="center"/>
              <w:rPr>
                <w:rFonts w:ascii="Times New Roman" w:eastAsia="Times New Roman" w:hAnsi="Times New Roman" w:cs="Times New Roman"/>
                <w:sz w:val="20"/>
                <w:szCs w:val="20"/>
                <w:lang w:eastAsia="en-US"/>
              </w:rPr>
            </w:pPr>
            <w:r w:rsidRPr="0035017C">
              <w:rPr>
                <w:rFonts w:ascii="Times New Roman" w:eastAsia="Times New Roman" w:hAnsi="Times New Roman" w:cs="Times New Roman"/>
                <w:sz w:val="20"/>
                <w:szCs w:val="20"/>
                <w:lang w:eastAsia="en-US"/>
              </w:rPr>
              <w:t>705.4</w:t>
            </w:r>
          </w:p>
        </w:tc>
      </w:tr>
      <w:tr w:rsidR="00FE0200" w:rsidRPr="0035017C" w:rsidTr="003C352E">
        <w:trPr>
          <w:gridAfter w:val="1"/>
          <w:wAfter w:w="355" w:type="dxa"/>
          <w:trHeight w:val="240"/>
        </w:trPr>
        <w:tc>
          <w:tcPr>
            <w:tcW w:w="3705" w:type="dxa"/>
            <w:shd w:val="clear" w:color="auto" w:fill="auto"/>
            <w:noWrap/>
            <w:vAlign w:val="bottom"/>
            <w:hideMark/>
          </w:tcPr>
          <w:p w:rsidR="00FE0200" w:rsidRPr="0035017C" w:rsidRDefault="00FE0200" w:rsidP="003C352E">
            <w:pPr>
              <w:rPr>
                <w:rFonts w:ascii="Times New Roman" w:eastAsia="Times New Roman" w:hAnsi="Times New Roman" w:cs="Times New Roman"/>
                <w:sz w:val="20"/>
                <w:szCs w:val="20"/>
                <w:lang w:eastAsia="en-US"/>
              </w:rPr>
            </w:pPr>
            <w:r w:rsidRPr="0035017C">
              <w:rPr>
                <w:rFonts w:ascii="Times New Roman" w:eastAsia="Times New Roman" w:hAnsi="Times New Roman" w:cs="Times New Roman"/>
                <w:sz w:val="20"/>
                <w:szCs w:val="20"/>
                <w:lang w:eastAsia="en-US"/>
              </w:rPr>
              <w:t>inhalation</w:t>
            </w:r>
          </w:p>
        </w:tc>
        <w:tc>
          <w:tcPr>
            <w:tcW w:w="1720" w:type="dxa"/>
            <w:gridSpan w:val="2"/>
            <w:shd w:val="clear" w:color="auto" w:fill="auto"/>
            <w:noWrap/>
            <w:vAlign w:val="bottom"/>
            <w:hideMark/>
          </w:tcPr>
          <w:p w:rsidR="00FE0200" w:rsidRPr="0035017C" w:rsidRDefault="00FE0200" w:rsidP="003C352E">
            <w:pPr>
              <w:jc w:val="center"/>
              <w:rPr>
                <w:rFonts w:ascii="Times New Roman" w:eastAsia="Times New Roman" w:hAnsi="Times New Roman" w:cs="Times New Roman"/>
                <w:sz w:val="20"/>
                <w:szCs w:val="20"/>
                <w:lang w:eastAsia="en-US"/>
              </w:rPr>
            </w:pPr>
            <w:r w:rsidRPr="0035017C">
              <w:rPr>
                <w:rFonts w:ascii="Times New Roman" w:eastAsia="Times New Roman" w:hAnsi="Times New Roman" w:cs="Times New Roman"/>
                <w:sz w:val="20"/>
                <w:szCs w:val="20"/>
                <w:lang w:eastAsia="en-US"/>
              </w:rPr>
              <w:t>26.8</w:t>
            </w:r>
          </w:p>
        </w:tc>
        <w:tc>
          <w:tcPr>
            <w:tcW w:w="1740" w:type="dxa"/>
            <w:gridSpan w:val="2"/>
            <w:shd w:val="clear" w:color="auto" w:fill="auto"/>
            <w:noWrap/>
            <w:vAlign w:val="bottom"/>
            <w:hideMark/>
          </w:tcPr>
          <w:p w:rsidR="00FE0200" w:rsidRPr="0035017C" w:rsidRDefault="00FE0200" w:rsidP="003C352E">
            <w:pPr>
              <w:jc w:val="center"/>
              <w:rPr>
                <w:rFonts w:ascii="Times New Roman" w:eastAsia="Times New Roman" w:hAnsi="Times New Roman" w:cs="Times New Roman"/>
                <w:sz w:val="20"/>
                <w:szCs w:val="20"/>
                <w:lang w:eastAsia="en-US"/>
              </w:rPr>
            </w:pPr>
            <w:r w:rsidRPr="0035017C">
              <w:rPr>
                <w:rFonts w:ascii="Times New Roman" w:eastAsia="Times New Roman" w:hAnsi="Times New Roman" w:cs="Times New Roman"/>
                <w:sz w:val="20"/>
                <w:szCs w:val="20"/>
                <w:lang w:eastAsia="en-US"/>
              </w:rPr>
              <w:t>16.9</w:t>
            </w:r>
          </w:p>
        </w:tc>
        <w:tc>
          <w:tcPr>
            <w:tcW w:w="1780" w:type="dxa"/>
            <w:gridSpan w:val="2"/>
            <w:shd w:val="clear" w:color="auto" w:fill="auto"/>
            <w:noWrap/>
            <w:vAlign w:val="bottom"/>
            <w:hideMark/>
          </w:tcPr>
          <w:p w:rsidR="00FE0200" w:rsidRPr="0035017C" w:rsidRDefault="00FE0200" w:rsidP="003C352E">
            <w:pPr>
              <w:jc w:val="center"/>
              <w:rPr>
                <w:rFonts w:ascii="Times New Roman" w:eastAsia="Times New Roman" w:hAnsi="Times New Roman" w:cs="Times New Roman"/>
                <w:sz w:val="20"/>
                <w:szCs w:val="20"/>
                <w:lang w:eastAsia="en-US"/>
              </w:rPr>
            </w:pPr>
            <w:r w:rsidRPr="0035017C">
              <w:rPr>
                <w:rFonts w:ascii="Times New Roman" w:eastAsia="Times New Roman" w:hAnsi="Times New Roman" w:cs="Times New Roman"/>
                <w:sz w:val="20"/>
                <w:szCs w:val="20"/>
                <w:lang w:eastAsia="en-US"/>
              </w:rPr>
              <w:t>30.9</w:t>
            </w:r>
          </w:p>
        </w:tc>
      </w:tr>
      <w:tr w:rsidR="00FE0200" w:rsidRPr="0035017C" w:rsidTr="003C352E">
        <w:trPr>
          <w:gridAfter w:val="1"/>
          <w:wAfter w:w="355" w:type="dxa"/>
          <w:trHeight w:val="240"/>
        </w:trPr>
        <w:tc>
          <w:tcPr>
            <w:tcW w:w="3705" w:type="dxa"/>
            <w:shd w:val="clear" w:color="auto" w:fill="auto"/>
            <w:noWrap/>
            <w:vAlign w:val="bottom"/>
            <w:hideMark/>
          </w:tcPr>
          <w:p w:rsidR="00FE0200" w:rsidRPr="0035017C" w:rsidRDefault="00FE0200" w:rsidP="003C352E">
            <w:pPr>
              <w:rPr>
                <w:rFonts w:ascii="Times New Roman" w:eastAsia="Times New Roman" w:hAnsi="Times New Roman" w:cs="Times New Roman"/>
                <w:sz w:val="20"/>
                <w:szCs w:val="20"/>
                <w:lang w:eastAsia="en-US"/>
              </w:rPr>
            </w:pPr>
            <w:r w:rsidRPr="0035017C">
              <w:rPr>
                <w:rFonts w:ascii="Times New Roman" w:eastAsia="Times New Roman" w:hAnsi="Times New Roman" w:cs="Times New Roman"/>
                <w:sz w:val="20"/>
                <w:szCs w:val="20"/>
                <w:lang w:eastAsia="en-US"/>
              </w:rPr>
              <w:t>ingestion/inhalation ratio</w:t>
            </w:r>
          </w:p>
        </w:tc>
        <w:tc>
          <w:tcPr>
            <w:tcW w:w="1720" w:type="dxa"/>
            <w:gridSpan w:val="2"/>
            <w:shd w:val="clear" w:color="auto" w:fill="auto"/>
            <w:noWrap/>
            <w:vAlign w:val="bottom"/>
            <w:hideMark/>
          </w:tcPr>
          <w:p w:rsidR="00FE0200" w:rsidRPr="0035017C" w:rsidRDefault="00FE0200" w:rsidP="003C352E">
            <w:pPr>
              <w:jc w:val="center"/>
              <w:rPr>
                <w:rFonts w:ascii="Times New Roman" w:eastAsia="Times New Roman" w:hAnsi="Times New Roman" w:cs="Times New Roman"/>
                <w:sz w:val="20"/>
                <w:szCs w:val="20"/>
                <w:lang w:eastAsia="en-US"/>
              </w:rPr>
            </w:pPr>
            <w:r w:rsidRPr="0035017C">
              <w:rPr>
                <w:rFonts w:ascii="Times New Roman" w:eastAsia="Times New Roman" w:hAnsi="Times New Roman" w:cs="Times New Roman"/>
                <w:sz w:val="20"/>
                <w:szCs w:val="20"/>
                <w:lang w:eastAsia="en-US"/>
              </w:rPr>
              <w:t>5.7</w:t>
            </w:r>
          </w:p>
        </w:tc>
        <w:tc>
          <w:tcPr>
            <w:tcW w:w="1740" w:type="dxa"/>
            <w:gridSpan w:val="2"/>
            <w:shd w:val="clear" w:color="auto" w:fill="auto"/>
            <w:noWrap/>
            <w:vAlign w:val="bottom"/>
            <w:hideMark/>
          </w:tcPr>
          <w:p w:rsidR="00FE0200" w:rsidRPr="0035017C" w:rsidRDefault="00FE0200" w:rsidP="003C352E">
            <w:pPr>
              <w:jc w:val="center"/>
              <w:rPr>
                <w:rFonts w:ascii="Times New Roman" w:eastAsia="Times New Roman" w:hAnsi="Times New Roman" w:cs="Times New Roman"/>
                <w:sz w:val="20"/>
                <w:szCs w:val="20"/>
                <w:lang w:eastAsia="en-US"/>
              </w:rPr>
            </w:pPr>
            <w:r w:rsidRPr="0035017C">
              <w:rPr>
                <w:rFonts w:ascii="Times New Roman" w:eastAsia="Times New Roman" w:hAnsi="Times New Roman" w:cs="Times New Roman"/>
                <w:sz w:val="20"/>
                <w:szCs w:val="20"/>
                <w:lang w:eastAsia="en-US"/>
              </w:rPr>
              <w:t>2.0</w:t>
            </w:r>
          </w:p>
        </w:tc>
        <w:tc>
          <w:tcPr>
            <w:tcW w:w="1780" w:type="dxa"/>
            <w:gridSpan w:val="2"/>
            <w:shd w:val="clear" w:color="auto" w:fill="auto"/>
            <w:noWrap/>
            <w:vAlign w:val="bottom"/>
            <w:hideMark/>
          </w:tcPr>
          <w:p w:rsidR="00FE0200" w:rsidRPr="0035017C" w:rsidRDefault="00FE0200" w:rsidP="003C352E">
            <w:pPr>
              <w:jc w:val="center"/>
              <w:rPr>
                <w:rFonts w:ascii="Times New Roman" w:eastAsia="Times New Roman" w:hAnsi="Times New Roman" w:cs="Times New Roman"/>
                <w:sz w:val="20"/>
                <w:szCs w:val="20"/>
                <w:lang w:eastAsia="en-US"/>
              </w:rPr>
            </w:pPr>
            <w:r w:rsidRPr="0035017C">
              <w:rPr>
                <w:rFonts w:ascii="Times New Roman" w:eastAsia="Times New Roman" w:hAnsi="Times New Roman" w:cs="Times New Roman"/>
                <w:sz w:val="20"/>
                <w:szCs w:val="20"/>
                <w:lang w:eastAsia="en-US"/>
              </w:rPr>
              <w:t>22.8</w:t>
            </w:r>
          </w:p>
        </w:tc>
      </w:tr>
      <w:tr w:rsidR="00FE0200" w:rsidRPr="0035017C" w:rsidTr="003C352E">
        <w:trPr>
          <w:gridAfter w:val="1"/>
          <w:wAfter w:w="355" w:type="dxa"/>
          <w:trHeight w:val="240"/>
        </w:trPr>
        <w:tc>
          <w:tcPr>
            <w:tcW w:w="3705" w:type="dxa"/>
            <w:shd w:val="clear" w:color="auto" w:fill="auto"/>
            <w:noWrap/>
            <w:vAlign w:val="bottom"/>
            <w:hideMark/>
          </w:tcPr>
          <w:p w:rsidR="00FE0200" w:rsidRPr="0035017C" w:rsidRDefault="00FE0200" w:rsidP="003C352E">
            <w:pPr>
              <w:rPr>
                <w:rFonts w:ascii="Times New Roman" w:eastAsia="Times New Roman" w:hAnsi="Times New Roman" w:cs="Times New Roman"/>
                <w:sz w:val="20"/>
                <w:szCs w:val="20"/>
                <w:lang w:eastAsia="en-US"/>
              </w:rPr>
            </w:pPr>
          </w:p>
        </w:tc>
        <w:tc>
          <w:tcPr>
            <w:tcW w:w="1720" w:type="dxa"/>
            <w:gridSpan w:val="2"/>
            <w:shd w:val="clear" w:color="auto" w:fill="auto"/>
            <w:noWrap/>
            <w:vAlign w:val="bottom"/>
            <w:hideMark/>
          </w:tcPr>
          <w:p w:rsidR="00FE0200" w:rsidRPr="0035017C" w:rsidRDefault="00FE0200" w:rsidP="003C352E">
            <w:pPr>
              <w:jc w:val="center"/>
              <w:rPr>
                <w:rFonts w:ascii="Times New Roman" w:eastAsia="Times New Roman" w:hAnsi="Times New Roman" w:cs="Times New Roman"/>
                <w:sz w:val="20"/>
                <w:szCs w:val="20"/>
                <w:lang w:eastAsia="en-US"/>
              </w:rPr>
            </w:pPr>
          </w:p>
        </w:tc>
        <w:tc>
          <w:tcPr>
            <w:tcW w:w="1740" w:type="dxa"/>
            <w:gridSpan w:val="2"/>
            <w:shd w:val="clear" w:color="auto" w:fill="auto"/>
            <w:noWrap/>
            <w:vAlign w:val="bottom"/>
            <w:hideMark/>
          </w:tcPr>
          <w:p w:rsidR="00FE0200" w:rsidRPr="0035017C" w:rsidRDefault="00FE0200" w:rsidP="003C352E">
            <w:pPr>
              <w:jc w:val="center"/>
              <w:rPr>
                <w:rFonts w:ascii="Times New Roman" w:eastAsia="Times New Roman" w:hAnsi="Times New Roman" w:cs="Times New Roman"/>
                <w:sz w:val="20"/>
                <w:szCs w:val="20"/>
                <w:lang w:eastAsia="en-US"/>
              </w:rPr>
            </w:pPr>
          </w:p>
        </w:tc>
        <w:tc>
          <w:tcPr>
            <w:tcW w:w="1780" w:type="dxa"/>
            <w:gridSpan w:val="2"/>
            <w:shd w:val="clear" w:color="auto" w:fill="auto"/>
            <w:noWrap/>
            <w:vAlign w:val="bottom"/>
            <w:hideMark/>
          </w:tcPr>
          <w:p w:rsidR="00FE0200" w:rsidRPr="0035017C" w:rsidRDefault="00FE0200" w:rsidP="003C352E">
            <w:pPr>
              <w:jc w:val="center"/>
              <w:rPr>
                <w:rFonts w:ascii="Times New Roman" w:eastAsia="Times New Roman" w:hAnsi="Times New Roman" w:cs="Times New Roman"/>
                <w:sz w:val="20"/>
                <w:szCs w:val="20"/>
                <w:lang w:eastAsia="en-US"/>
              </w:rPr>
            </w:pPr>
          </w:p>
        </w:tc>
      </w:tr>
      <w:tr w:rsidR="00FE0200" w:rsidRPr="0035017C" w:rsidTr="003C352E">
        <w:trPr>
          <w:gridAfter w:val="1"/>
          <w:wAfter w:w="355" w:type="dxa"/>
          <w:trHeight w:val="240"/>
        </w:trPr>
        <w:tc>
          <w:tcPr>
            <w:tcW w:w="3705" w:type="dxa"/>
            <w:shd w:val="clear" w:color="auto" w:fill="auto"/>
            <w:noWrap/>
            <w:vAlign w:val="bottom"/>
            <w:hideMark/>
          </w:tcPr>
          <w:p w:rsidR="00FE0200" w:rsidRPr="0035017C" w:rsidRDefault="00FE0200" w:rsidP="003C352E">
            <w:pPr>
              <w:rPr>
                <w:rFonts w:ascii="Times New Roman" w:eastAsia="Times New Roman" w:hAnsi="Times New Roman" w:cs="Times New Roman"/>
                <w:b/>
                <w:sz w:val="20"/>
                <w:szCs w:val="20"/>
                <w:lang w:eastAsia="en-US"/>
              </w:rPr>
            </w:pPr>
            <w:r w:rsidRPr="0035017C">
              <w:rPr>
                <w:rFonts w:ascii="Times New Roman" w:eastAsia="Times New Roman" w:hAnsi="Times New Roman" w:cs="Times New Roman"/>
                <w:b/>
                <w:sz w:val="20"/>
                <w:szCs w:val="20"/>
                <w:lang w:eastAsia="en-US"/>
              </w:rPr>
              <w:t>1 std error high tissue/blood partition coefficients</w:t>
            </w:r>
          </w:p>
        </w:tc>
        <w:tc>
          <w:tcPr>
            <w:tcW w:w="1720" w:type="dxa"/>
            <w:gridSpan w:val="2"/>
            <w:shd w:val="clear" w:color="auto" w:fill="auto"/>
            <w:noWrap/>
            <w:vAlign w:val="bottom"/>
            <w:hideMark/>
          </w:tcPr>
          <w:p w:rsidR="00FE0200" w:rsidRPr="0035017C" w:rsidRDefault="00FE0200" w:rsidP="003C352E">
            <w:pPr>
              <w:jc w:val="center"/>
              <w:rPr>
                <w:rFonts w:ascii="Times New Roman" w:eastAsia="Times New Roman" w:hAnsi="Times New Roman" w:cs="Times New Roman"/>
                <w:sz w:val="20"/>
                <w:szCs w:val="20"/>
                <w:lang w:eastAsia="en-US"/>
              </w:rPr>
            </w:pPr>
          </w:p>
        </w:tc>
        <w:tc>
          <w:tcPr>
            <w:tcW w:w="1740" w:type="dxa"/>
            <w:gridSpan w:val="2"/>
            <w:shd w:val="clear" w:color="auto" w:fill="auto"/>
            <w:noWrap/>
            <w:vAlign w:val="bottom"/>
            <w:hideMark/>
          </w:tcPr>
          <w:p w:rsidR="00FE0200" w:rsidRPr="0035017C" w:rsidRDefault="00FE0200" w:rsidP="003C352E">
            <w:pPr>
              <w:jc w:val="center"/>
              <w:rPr>
                <w:rFonts w:ascii="Times New Roman" w:eastAsia="Times New Roman" w:hAnsi="Times New Roman" w:cs="Times New Roman"/>
                <w:sz w:val="20"/>
                <w:szCs w:val="20"/>
                <w:lang w:eastAsia="en-US"/>
              </w:rPr>
            </w:pPr>
          </w:p>
        </w:tc>
        <w:tc>
          <w:tcPr>
            <w:tcW w:w="1780" w:type="dxa"/>
            <w:gridSpan w:val="2"/>
            <w:shd w:val="clear" w:color="auto" w:fill="auto"/>
            <w:noWrap/>
            <w:vAlign w:val="bottom"/>
            <w:hideMark/>
          </w:tcPr>
          <w:p w:rsidR="00FE0200" w:rsidRPr="0035017C" w:rsidRDefault="00FE0200" w:rsidP="003C352E">
            <w:pPr>
              <w:jc w:val="center"/>
              <w:rPr>
                <w:rFonts w:ascii="Times New Roman" w:eastAsia="Times New Roman" w:hAnsi="Times New Roman" w:cs="Times New Roman"/>
                <w:sz w:val="20"/>
                <w:szCs w:val="20"/>
                <w:lang w:eastAsia="en-US"/>
              </w:rPr>
            </w:pPr>
          </w:p>
        </w:tc>
      </w:tr>
      <w:tr w:rsidR="00FE0200" w:rsidRPr="0035017C" w:rsidTr="003C352E">
        <w:trPr>
          <w:gridAfter w:val="1"/>
          <w:wAfter w:w="355" w:type="dxa"/>
          <w:trHeight w:val="240"/>
        </w:trPr>
        <w:tc>
          <w:tcPr>
            <w:tcW w:w="3705" w:type="dxa"/>
            <w:shd w:val="clear" w:color="auto" w:fill="auto"/>
            <w:noWrap/>
            <w:vAlign w:val="bottom"/>
            <w:hideMark/>
          </w:tcPr>
          <w:p w:rsidR="00FE0200" w:rsidRPr="0035017C" w:rsidRDefault="00FE0200" w:rsidP="003C352E">
            <w:pPr>
              <w:rPr>
                <w:rFonts w:ascii="Times New Roman" w:eastAsia="Times New Roman" w:hAnsi="Times New Roman" w:cs="Times New Roman"/>
                <w:sz w:val="20"/>
                <w:szCs w:val="20"/>
                <w:lang w:eastAsia="en-US"/>
              </w:rPr>
            </w:pPr>
            <w:r w:rsidRPr="0035017C">
              <w:rPr>
                <w:rFonts w:ascii="Times New Roman" w:eastAsia="Times New Roman" w:hAnsi="Times New Roman" w:cs="Times New Roman"/>
                <w:sz w:val="20"/>
                <w:szCs w:val="20"/>
                <w:lang w:eastAsia="en-US"/>
              </w:rPr>
              <w:t>ingestion</w:t>
            </w:r>
          </w:p>
        </w:tc>
        <w:tc>
          <w:tcPr>
            <w:tcW w:w="1720" w:type="dxa"/>
            <w:gridSpan w:val="2"/>
            <w:shd w:val="clear" w:color="auto" w:fill="auto"/>
            <w:noWrap/>
            <w:vAlign w:val="bottom"/>
            <w:hideMark/>
          </w:tcPr>
          <w:p w:rsidR="00FE0200" w:rsidRPr="0035017C" w:rsidRDefault="00FE0200" w:rsidP="003C352E">
            <w:pPr>
              <w:jc w:val="center"/>
              <w:rPr>
                <w:rFonts w:ascii="Times New Roman" w:eastAsia="Times New Roman" w:hAnsi="Times New Roman" w:cs="Times New Roman"/>
                <w:sz w:val="20"/>
                <w:szCs w:val="20"/>
                <w:lang w:eastAsia="en-US"/>
              </w:rPr>
            </w:pPr>
            <w:r w:rsidRPr="0035017C">
              <w:rPr>
                <w:rFonts w:ascii="Times New Roman" w:eastAsia="Times New Roman" w:hAnsi="Times New Roman" w:cs="Times New Roman"/>
                <w:sz w:val="20"/>
                <w:szCs w:val="20"/>
                <w:lang w:eastAsia="en-US"/>
              </w:rPr>
              <w:t>156.6</w:t>
            </w:r>
          </w:p>
        </w:tc>
        <w:tc>
          <w:tcPr>
            <w:tcW w:w="1740" w:type="dxa"/>
            <w:gridSpan w:val="2"/>
            <w:shd w:val="clear" w:color="auto" w:fill="auto"/>
            <w:noWrap/>
            <w:vAlign w:val="bottom"/>
            <w:hideMark/>
          </w:tcPr>
          <w:p w:rsidR="00FE0200" w:rsidRPr="0035017C" w:rsidRDefault="00FE0200" w:rsidP="003C352E">
            <w:pPr>
              <w:jc w:val="center"/>
              <w:rPr>
                <w:rFonts w:ascii="Times New Roman" w:eastAsia="Times New Roman" w:hAnsi="Times New Roman" w:cs="Times New Roman"/>
                <w:sz w:val="20"/>
                <w:szCs w:val="20"/>
                <w:lang w:eastAsia="en-US"/>
              </w:rPr>
            </w:pPr>
            <w:r w:rsidRPr="0035017C">
              <w:rPr>
                <w:rFonts w:ascii="Times New Roman" w:eastAsia="Times New Roman" w:hAnsi="Times New Roman" w:cs="Times New Roman"/>
                <w:sz w:val="20"/>
                <w:szCs w:val="20"/>
                <w:lang w:eastAsia="en-US"/>
              </w:rPr>
              <w:t>35.1</w:t>
            </w:r>
          </w:p>
        </w:tc>
        <w:tc>
          <w:tcPr>
            <w:tcW w:w="1780" w:type="dxa"/>
            <w:gridSpan w:val="2"/>
            <w:shd w:val="clear" w:color="auto" w:fill="auto"/>
            <w:noWrap/>
            <w:vAlign w:val="bottom"/>
            <w:hideMark/>
          </w:tcPr>
          <w:p w:rsidR="00FE0200" w:rsidRPr="0035017C" w:rsidRDefault="00FE0200" w:rsidP="003C352E">
            <w:pPr>
              <w:jc w:val="center"/>
              <w:rPr>
                <w:rFonts w:ascii="Times New Roman" w:eastAsia="Times New Roman" w:hAnsi="Times New Roman" w:cs="Times New Roman"/>
                <w:sz w:val="20"/>
                <w:szCs w:val="20"/>
                <w:lang w:eastAsia="en-US"/>
              </w:rPr>
            </w:pPr>
            <w:r w:rsidRPr="0035017C">
              <w:rPr>
                <w:rFonts w:ascii="Times New Roman" w:eastAsia="Times New Roman" w:hAnsi="Times New Roman" w:cs="Times New Roman"/>
                <w:sz w:val="20"/>
                <w:szCs w:val="20"/>
                <w:lang w:eastAsia="en-US"/>
              </w:rPr>
              <w:t>714.2</w:t>
            </w:r>
          </w:p>
        </w:tc>
      </w:tr>
      <w:tr w:rsidR="00FE0200" w:rsidRPr="0035017C" w:rsidTr="003C352E">
        <w:trPr>
          <w:gridAfter w:val="1"/>
          <w:wAfter w:w="355" w:type="dxa"/>
          <w:trHeight w:val="240"/>
        </w:trPr>
        <w:tc>
          <w:tcPr>
            <w:tcW w:w="3705" w:type="dxa"/>
            <w:shd w:val="clear" w:color="auto" w:fill="auto"/>
            <w:noWrap/>
            <w:vAlign w:val="bottom"/>
            <w:hideMark/>
          </w:tcPr>
          <w:p w:rsidR="00FE0200" w:rsidRPr="0035017C" w:rsidRDefault="00FE0200" w:rsidP="003C352E">
            <w:pPr>
              <w:rPr>
                <w:rFonts w:ascii="Times New Roman" w:eastAsia="Times New Roman" w:hAnsi="Times New Roman" w:cs="Times New Roman"/>
                <w:sz w:val="20"/>
                <w:szCs w:val="20"/>
                <w:lang w:eastAsia="en-US"/>
              </w:rPr>
            </w:pPr>
            <w:r w:rsidRPr="0035017C">
              <w:rPr>
                <w:rFonts w:ascii="Times New Roman" w:eastAsia="Times New Roman" w:hAnsi="Times New Roman" w:cs="Times New Roman"/>
                <w:sz w:val="20"/>
                <w:szCs w:val="20"/>
                <w:lang w:eastAsia="en-US"/>
              </w:rPr>
              <w:t>inhalation</w:t>
            </w:r>
          </w:p>
        </w:tc>
        <w:tc>
          <w:tcPr>
            <w:tcW w:w="1720" w:type="dxa"/>
            <w:gridSpan w:val="2"/>
            <w:shd w:val="clear" w:color="auto" w:fill="auto"/>
            <w:noWrap/>
            <w:vAlign w:val="bottom"/>
            <w:hideMark/>
          </w:tcPr>
          <w:p w:rsidR="00FE0200" w:rsidRPr="0035017C" w:rsidRDefault="00FE0200" w:rsidP="003C352E">
            <w:pPr>
              <w:jc w:val="center"/>
              <w:rPr>
                <w:rFonts w:ascii="Times New Roman" w:eastAsia="Times New Roman" w:hAnsi="Times New Roman" w:cs="Times New Roman"/>
                <w:sz w:val="20"/>
                <w:szCs w:val="20"/>
                <w:lang w:eastAsia="en-US"/>
              </w:rPr>
            </w:pPr>
            <w:r w:rsidRPr="0035017C">
              <w:rPr>
                <w:rFonts w:ascii="Times New Roman" w:eastAsia="Times New Roman" w:hAnsi="Times New Roman" w:cs="Times New Roman"/>
                <w:sz w:val="20"/>
                <w:szCs w:val="20"/>
                <w:lang w:eastAsia="en-US"/>
              </w:rPr>
              <w:t>27.3</w:t>
            </w:r>
          </w:p>
        </w:tc>
        <w:tc>
          <w:tcPr>
            <w:tcW w:w="1740" w:type="dxa"/>
            <w:gridSpan w:val="2"/>
            <w:shd w:val="clear" w:color="auto" w:fill="auto"/>
            <w:noWrap/>
            <w:vAlign w:val="bottom"/>
            <w:hideMark/>
          </w:tcPr>
          <w:p w:rsidR="00FE0200" w:rsidRPr="0035017C" w:rsidRDefault="00FE0200" w:rsidP="003C352E">
            <w:pPr>
              <w:jc w:val="center"/>
              <w:rPr>
                <w:rFonts w:ascii="Times New Roman" w:eastAsia="Times New Roman" w:hAnsi="Times New Roman" w:cs="Times New Roman"/>
                <w:sz w:val="20"/>
                <w:szCs w:val="20"/>
                <w:lang w:eastAsia="en-US"/>
              </w:rPr>
            </w:pPr>
            <w:r w:rsidRPr="0035017C">
              <w:rPr>
                <w:rFonts w:ascii="Times New Roman" w:eastAsia="Times New Roman" w:hAnsi="Times New Roman" w:cs="Times New Roman"/>
                <w:sz w:val="20"/>
                <w:szCs w:val="20"/>
                <w:lang w:eastAsia="en-US"/>
              </w:rPr>
              <w:t>17.3</w:t>
            </w:r>
          </w:p>
        </w:tc>
        <w:tc>
          <w:tcPr>
            <w:tcW w:w="1780" w:type="dxa"/>
            <w:gridSpan w:val="2"/>
            <w:shd w:val="clear" w:color="auto" w:fill="auto"/>
            <w:noWrap/>
            <w:vAlign w:val="bottom"/>
            <w:hideMark/>
          </w:tcPr>
          <w:p w:rsidR="00FE0200" w:rsidRPr="0035017C" w:rsidRDefault="00FE0200" w:rsidP="003C352E">
            <w:pPr>
              <w:jc w:val="center"/>
              <w:rPr>
                <w:rFonts w:ascii="Times New Roman" w:eastAsia="Times New Roman" w:hAnsi="Times New Roman" w:cs="Times New Roman"/>
                <w:sz w:val="20"/>
                <w:szCs w:val="20"/>
                <w:lang w:eastAsia="en-US"/>
              </w:rPr>
            </w:pPr>
            <w:r w:rsidRPr="0035017C">
              <w:rPr>
                <w:rFonts w:ascii="Times New Roman" w:eastAsia="Times New Roman" w:hAnsi="Times New Roman" w:cs="Times New Roman"/>
                <w:sz w:val="20"/>
                <w:szCs w:val="20"/>
                <w:lang w:eastAsia="en-US"/>
              </w:rPr>
              <w:t>31.4</w:t>
            </w:r>
          </w:p>
        </w:tc>
      </w:tr>
      <w:tr w:rsidR="00FE0200" w:rsidRPr="0035017C" w:rsidTr="003C352E">
        <w:trPr>
          <w:gridAfter w:val="1"/>
          <w:wAfter w:w="355" w:type="dxa"/>
          <w:trHeight w:val="240"/>
        </w:trPr>
        <w:tc>
          <w:tcPr>
            <w:tcW w:w="3705" w:type="dxa"/>
            <w:shd w:val="clear" w:color="auto" w:fill="auto"/>
            <w:noWrap/>
            <w:vAlign w:val="bottom"/>
            <w:hideMark/>
          </w:tcPr>
          <w:p w:rsidR="00FE0200" w:rsidRPr="0035017C" w:rsidRDefault="00FE0200" w:rsidP="003C352E">
            <w:pPr>
              <w:rPr>
                <w:rFonts w:ascii="Times New Roman" w:eastAsia="Times New Roman" w:hAnsi="Times New Roman" w:cs="Times New Roman"/>
                <w:sz w:val="20"/>
                <w:szCs w:val="20"/>
                <w:lang w:eastAsia="en-US"/>
              </w:rPr>
            </w:pPr>
            <w:r w:rsidRPr="0035017C">
              <w:rPr>
                <w:rFonts w:ascii="Times New Roman" w:eastAsia="Times New Roman" w:hAnsi="Times New Roman" w:cs="Times New Roman"/>
                <w:sz w:val="20"/>
                <w:szCs w:val="20"/>
                <w:lang w:eastAsia="en-US"/>
              </w:rPr>
              <w:t>ingestion/inhalation ratio</w:t>
            </w:r>
          </w:p>
        </w:tc>
        <w:tc>
          <w:tcPr>
            <w:tcW w:w="1720" w:type="dxa"/>
            <w:gridSpan w:val="2"/>
            <w:shd w:val="clear" w:color="auto" w:fill="auto"/>
            <w:noWrap/>
            <w:vAlign w:val="bottom"/>
            <w:hideMark/>
          </w:tcPr>
          <w:p w:rsidR="00FE0200" w:rsidRPr="0035017C" w:rsidRDefault="00FE0200" w:rsidP="003C352E">
            <w:pPr>
              <w:jc w:val="center"/>
              <w:rPr>
                <w:rFonts w:ascii="Times New Roman" w:eastAsia="Times New Roman" w:hAnsi="Times New Roman" w:cs="Times New Roman"/>
                <w:sz w:val="20"/>
                <w:szCs w:val="20"/>
                <w:lang w:eastAsia="en-US"/>
              </w:rPr>
            </w:pPr>
            <w:r w:rsidRPr="0035017C">
              <w:rPr>
                <w:rFonts w:ascii="Times New Roman" w:eastAsia="Times New Roman" w:hAnsi="Times New Roman" w:cs="Times New Roman"/>
                <w:sz w:val="20"/>
                <w:szCs w:val="20"/>
                <w:lang w:eastAsia="en-US"/>
              </w:rPr>
              <w:t>5.7</w:t>
            </w:r>
          </w:p>
        </w:tc>
        <w:tc>
          <w:tcPr>
            <w:tcW w:w="1740" w:type="dxa"/>
            <w:gridSpan w:val="2"/>
            <w:shd w:val="clear" w:color="auto" w:fill="auto"/>
            <w:noWrap/>
            <w:vAlign w:val="bottom"/>
            <w:hideMark/>
          </w:tcPr>
          <w:p w:rsidR="00FE0200" w:rsidRPr="0035017C" w:rsidRDefault="00FE0200" w:rsidP="003C352E">
            <w:pPr>
              <w:jc w:val="center"/>
              <w:rPr>
                <w:rFonts w:ascii="Times New Roman" w:eastAsia="Times New Roman" w:hAnsi="Times New Roman" w:cs="Times New Roman"/>
                <w:sz w:val="20"/>
                <w:szCs w:val="20"/>
                <w:lang w:eastAsia="en-US"/>
              </w:rPr>
            </w:pPr>
            <w:r w:rsidRPr="0035017C">
              <w:rPr>
                <w:rFonts w:ascii="Times New Roman" w:eastAsia="Times New Roman" w:hAnsi="Times New Roman" w:cs="Times New Roman"/>
                <w:sz w:val="20"/>
                <w:szCs w:val="20"/>
                <w:lang w:eastAsia="en-US"/>
              </w:rPr>
              <w:t>2.0</w:t>
            </w:r>
          </w:p>
        </w:tc>
        <w:tc>
          <w:tcPr>
            <w:tcW w:w="1780" w:type="dxa"/>
            <w:gridSpan w:val="2"/>
            <w:shd w:val="clear" w:color="auto" w:fill="auto"/>
            <w:noWrap/>
            <w:vAlign w:val="bottom"/>
            <w:hideMark/>
          </w:tcPr>
          <w:p w:rsidR="00FE0200" w:rsidRPr="0035017C" w:rsidRDefault="00FE0200" w:rsidP="003C352E">
            <w:pPr>
              <w:jc w:val="center"/>
              <w:rPr>
                <w:rFonts w:ascii="Times New Roman" w:eastAsia="Times New Roman" w:hAnsi="Times New Roman" w:cs="Times New Roman"/>
                <w:sz w:val="20"/>
                <w:szCs w:val="20"/>
                <w:lang w:eastAsia="en-US"/>
              </w:rPr>
            </w:pPr>
            <w:r w:rsidRPr="0035017C">
              <w:rPr>
                <w:rFonts w:ascii="Times New Roman" w:eastAsia="Times New Roman" w:hAnsi="Times New Roman" w:cs="Times New Roman"/>
                <w:sz w:val="20"/>
                <w:szCs w:val="20"/>
                <w:lang w:eastAsia="en-US"/>
              </w:rPr>
              <w:t>22.8</w:t>
            </w:r>
          </w:p>
        </w:tc>
      </w:tr>
    </w:tbl>
    <w:p w:rsidR="00FE0200" w:rsidRDefault="00FE0200" w:rsidP="00FE0200">
      <w:pPr>
        <w:pStyle w:val="Body"/>
      </w:pPr>
    </w:p>
    <w:p w:rsidR="00FE0200" w:rsidRDefault="00FE0200" w:rsidP="00FE0200">
      <w:pPr>
        <w:pStyle w:val="Body"/>
      </w:pPr>
      <w:r>
        <w:br w:type="page"/>
      </w:r>
      <w:proofErr w:type="gramStart"/>
      <w:r w:rsidR="0035017C">
        <w:lastRenderedPageBreak/>
        <w:t>the</w:t>
      </w:r>
      <w:proofErr w:type="gramEnd"/>
      <w:r w:rsidR="0035017C">
        <w:t xml:space="preserve"> liver/blood partition coefficient give rise to mostly offsetting changes in the liver metabolism rate inferred from the in vitro data.  This is different than will be observed for the Nolan and </w:t>
      </w:r>
      <w:proofErr w:type="spellStart"/>
      <w:r w:rsidR="0035017C">
        <w:t>Kisicki</w:t>
      </w:r>
      <w:proofErr w:type="spellEnd"/>
      <w:r w:rsidR="0035017C">
        <w:t xml:space="preserve"> observations, where the data give rise to expectations for the in vivo metabolism rates that are not directly affected by partition coefficient uncertainties.  </w:t>
      </w:r>
      <w:r>
        <w:t xml:space="preserve">The results summarized in Table </w:t>
      </w:r>
      <w:r w:rsidR="00F05973">
        <w:t>S7</w:t>
      </w:r>
      <w:r>
        <w:t xml:space="preserve"> were in turn used to create overall distributions of the expected inhalation and ingestion dose/blood level ratios produced by the metabolism rate and partition coefficient uncertainties.  In the case of the ingestion blood level to dose ratio, this was a lognormal distribution with </w:t>
      </w:r>
      <w:proofErr w:type="spellStart"/>
      <w:r>
        <w:t>gmean</w:t>
      </w:r>
      <w:proofErr w:type="spellEnd"/>
      <w:r>
        <w:t xml:space="preserve"> = 156.5 and </w:t>
      </w:r>
      <w:proofErr w:type="spellStart"/>
      <w:r>
        <w:t>gsd</w:t>
      </w:r>
      <w:proofErr w:type="spellEnd"/>
      <w:r>
        <w:t xml:space="preserve"> = 4.501.   The relatively large uncertainty in these results for this source of information derives from the strong dependence of the ingestion dose/blood factor on the metabolism rate which in this case is not bounded on the upside by observat</w:t>
      </w:r>
      <w:r w:rsidR="00F05973">
        <w:t xml:space="preserve">ions such as those in Table S2 </w:t>
      </w:r>
      <w:r>
        <w:t xml:space="preserve">from the Columbia researchers’ observations.  The limitation of these results to values for this factor of no more than 55 will be seen when the </w:t>
      </w:r>
      <w:proofErr w:type="spellStart"/>
      <w:r>
        <w:t>microsome</w:t>
      </w:r>
      <w:proofErr w:type="spellEnd"/>
      <w:r>
        <w:t>-based information is combined with the bounding “prior”.</w:t>
      </w:r>
    </w:p>
    <w:p w:rsidR="00FE0200" w:rsidRDefault="00FE0200" w:rsidP="00FE0200"/>
    <w:p w:rsidR="00FE0200" w:rsidRDefault="00635E94" w:rsidP="00635E94">
      <w:pPr>
        <w:pStyle w:val="Heading3"/>
      </w:pPr>
      <w:bookmarkStart w:id="2" w:name="_Toc210107948"/>
      <w:r>
        <w:t>3</w:t>
      </w:r>
      <w:r w:rsidR="00FE0200">
        <w:t>. Inferences Based on the Nolan et al. (1984)</w:t>
      </w:r>
      <w:r w:rsidR="00FE0200" w:rsidRPr="003E2035">
        <w:t xml:space="preserve"> </w:t>
      </w:r>
      <w:r w:rsidR="004375A8">
        <w:fldChar w:fldCharType="begin"/>
      </w:r>
      <w:r w:rsidR="002B6D02">
        <w:instrText xml:space="preserve"> ADDIN EN.CITE &lt;EndNote&gt;&lt;Cite&gt;&lt;Author&gt;Nolan&lt;/Author&gt;&lt;Year&gt;1984&lt;/Year&gt;&lt;RecNum&gt;197&lt;/RecNum&gt;&lt;DisplayText&gt;&lt;style face="superscript"&gt;(19)&lt;/style&gt;&lt;/DisplayText&gt;&lt;record&gt;&lt;rec-number&gt;197&lt;/rec-number&gt;&lt;foreign-keys&gt;&lt;key app="EN" db-id="xftvffafmwpe0fedf055pwp7ts95t0ta0v0a"&gt;197&lt;/key&gt;&lt;/foreign-keys&gt;&lt;ref-type name="Journal Article"&gt;17&lt;/ref-type&gt;&lt;contributors&gt;&lt;authors&gt;&lt;author&gt;Nolan, R. J.&lt;/author&gt;&lt;author&gt;Rick, D. L.&lt;/author&gt;&lt;author&gt;Freshour, N. L.&lt;/author&gt;&lt;author&gt;Saunders, J. H.&lt;/author&gt;&lt;/authors&gt;&lt;/contributors&gt;&lt;titles&gt;&lt;title&gt;Chlorpyrifos: pharmacokinetics in human volunteers&lt;/title&gt;&lt;secondary-title&gt;Toxicol Appl Pharmacol&lt;/secondary-title&gt;&lt;/titles&gt;&lt;periodical&gt;&lt;full-title&gt;Toxicol Appl Pharmacol&lt;/full-title&gt;&lt;/periodical&gt;&lt;pages&gt;8-15&lt;/pages&gt;&lt;volume&gt;73&lt;/volume&gt;&lt;number&gt;1&lt;/number&gt;&lt;edition&gt;1984/03/30&lt;/edition&gt;&lt;keywords&gt;&lt;keyword&gt;Administration, Oral&lt;/keyword&gt;&lt;keyword&gt;Adult&lt;/keyword&gt;&lt;keyword&gt;Chlorpyrifos/blood/*metabolism/urine&lt;/keyword&gt;&lt;keyword&gt;Cholinesterases/blood&lt;/keyword&gt;&lt;keyword&gt;Erythrocytes/enzymology&lt;/keyword&gt;&lt;keyword&gt;Humans&lt;/keyword&gt;&lt;keyword&gt;Intestinal Absorption&lt;/keyword&gt;&lt;keyword&gt;Kinetics&lt;/keyword&gt;&lt;keyword&gt;Male&lt;/keyword&gt;&lt;keyword&gt;Middle Aged&lt;/keyword&gt;&lt;keyword&gt;Skin Absorption&lt;/keyword&gt;&lt;/keywords&gt;&lt;dates&gt;&lt;year&gt;1984&lt;/year&gt;&lt;pub-dates&gt;&lt;date&gt;Mar 30&lt;/date&gt;&lt;/pub-dates&gt;&lt;/dates&gt;&lt;isbn&gt;0041-008X (Print)&amp;#xD;0041-008X (Linking)&lt;/isbn&gt;&lt;accession-num&gt;6200956&lt;/accession-num&gt;&lt;urls&gt;&lt;related-urls&gt;&lt;url&gt;http://www.ncbi.nlm.nih.gov/entrez/query.fcgi?cmd=Retrieve&amp;amp;db=PubMed&amp;amp;dopt=Citation&amp;amp;list_uids=6200956&lt;/url&gt;&lt;/related-urls&gt;&lt;/urls&gt;&lt;language&gt;eng&lt;/language&gt;&lt;/record&gt;&lt;/Cite&gt;&lt;/EndNote&gt;</w:instrText>
      </w:r>
      <w:r w:rsidR="004375A8">
        <w:fldChar w:fldCharType="separate"/>
      </w:r>
      <w:r w:rsidR="002B6D02" w:rsidRPr="002B6D02">
        <w:rPr>
          <w:noProof/>
          <w:vertAlign w:val="superscript"/>
        </w:rPr>
        <w:t>(</w:t>
      </w:r>
      <w:hyperlink w:anchor="_ENREF_19" w:tooltip="Nolan, 1984 #197" w:history="1">
        <w:r w:rsidR="002B6D02" w:rsidRPr="002B6D02">
          <w:rPr>
            <w:noProof/>
            <w:vertAlign w:val="superscript"/>
          </w:rPr>
          <w:t>19</w:t>
        </w:r>
      </w:hyperlink>
      <w:r w:rsidR="002B6D02" w:rsidRPr="002B6D02">
        <w:rPr>
          <w:noProof/>
          <w:vertAlign w:val="superscript"/>
        </w:rPr>
        <w:t>)</w:t>
      </w:r>
      <w:r w:rsidR="004375A8">
        <w:fldChar w:fldCharType="end"/>
      </w:r>
      <w:r w:rsidR="00FE0200">
        <w:t xml:space="preserve"> Experimental Human Dosing Study</w:t>
      </w:r>
      <w:bookmarkEnd w:id="2"/>
    </w:p>
    <w:p w:rsidR="00FE0200" w:rsidRDefault="00FE0200" w:rsidP="00FE0200">
      <w:pPr>
        <w:pStyle w:val="Body2"/>
      </w:pPr>
      <w:r>
        <w:t xml:space="preserve">Nolan et al. administered 0.5 mg/kg of </w:t>
      </w:r>
      <w:proofErr w:type="spellStart"/>
      <w:r>
        <w:t>chlorpyrifos</w:t>
      </w:r>
      <w:proofErr w:type="spellEnd"/>
      <w:r>
        <w:t xml:space="preserve"> orally to a total of 6 male subjects.  (One of these served as a pilot study and no detected blood </w:t>
      </w:r>
      <w:proofErr w:type="spellStart"/>
      <w:r>
        <w:t>chlorpyrifos</w:t>
      </w:r>
      <w:proofErr w:type="spellEnd"/>
      <w:r>
        <w:t xml:space="preserve"> levels are available for him).  Blood </w:t>
      </w:r>
      <w:proofErr w:type="spellStart"/>
      <w:r>
        <w:t>chlorpyrifos</w:t>
      </w:r>
      <w:proofErr w:type="spellEnd"/>
      <w:r>
        <w:t xml:space="preserve"> observations for the remaining men, based on an EPA summary are shown in Table </w:t>
      </w:r>
      <w:r w:rsidR="00635E94">
        <w:t>S8 (which corresponds to Table V in the final technical report)</w:t>
      </w:r>
      <w:r>
        <w:t xml:space="preserve">.  At the bottom of the table are calculations of the “Area Under the Curve” (AUC) of </w:t>
      </w:r>
      <w:proofErr w:type="spellStart"/>
      <w:r>
        <w:t>chlorpyrifos</w:t>
      </w:r>
      <w:proofErr w:type="spellEnd"/>
      <w:r>
        <w:t xml:space="preserve"> blood levels X time over the 12 hours of observation with and without use of an imputed value of 3.1 </w:t>
      </w:r>
      <w:proofErr w:type="spellStart"/>
      <w:r>
        <w:t>ng</w:t>
      </w:r>
      <w:proofErr w:type="spellEnd"/>
      <w:r>
        <w:t>/ml in place of the “</w:t>
      </w:r>
      <w:proofErr w:type="spellStart"/>
      <w:r>
        <w:t>nondetect</w:t>
      </w:r>
      <w:proofErr w:type="spellEnd"/>
      <w:r>
        <w:t xml:space="preserve">” observations.  Overall these AUC estimates with the imputed values have a geometric mean </w:t>
      </w:r>
      <w:proofErr w:type="gramStart"/>
      <w:r>
        <w:t xml:space="preserve">of 107.8 </w:t>
      </w:r>
      <w:proofErr w:type="spellStart"/>
      <w:r>
        <w:t>ng</w:t>
      </w:r>
      <w:proofErr w:type="spellEnd"/>
      <w:r>
        <w:t>-hr/ml</w:t>
      </w:r>
      <w:proofErr w:type="gramEnd"/>
      <w:r>
        <w:t xml:space="preserve"> and a geometric standard error of 1.147 (the ± 1 standard error range is 94.0-123.6).   </w:t>
      </w:r>
    </w:p>
    <w:p w:rsidR="00FE0200" w:rsidRDefault="00FE0200" w:rsidP="00FE0200">
      <w:pPr>
        <w:pStyle w:val="Body2"/>
      </w:pPr>
      <w:r>
        <w:t xml:space="preserve">We can use these AUC observations over the first 12 hours after oral dosing to re-calibrate our version of the </w:t>
      </w:r>
      <w:proofErr w:type="spellStart"/>
      <w:r>
        <w:t>Timchalk</w:t>
      </w:r>
      <w:proofErr w:type="spellEnd"/>
      <w:r>
        <w:t xml:space="preserve"> et al (2002) PBPK model for men of the average weight reported for the Nolan experiments (85.6 kg).   The only other adaptation needed for the model is to specify the fraction of </w:t>
      </w:r>
      <w:proofErr w:type="spellStart"/>
      <w:r>
        <w:t>chlorpyrifos</w:t>
      </w:r>
      <w:proofErr w:type="spellEnd"/>
      <w:r>
        <w:t xml:space="preserve"> absorbed following oral administration.  From observations of </w:t>
      </w:r>
      <w:proofErr w:type="spellStart"/>
      <w:r>
        <w:t>TCPy</w:t>
      </w:r>
      <w:proofErr w:type="spellEnd"/>
      <w:r>
        <w:t xml:space="preserve"> excretion over the 5 days following dosing, the preliminary indicated fraction of </w:t>
      </w:r>
      <w:proofErr w:type="spellStart"/>
      <w:r>
        <w:t>TCPy</w:t>
      </w:r>
      <w:proofErr w:type="spellEnd"/>
      <w:r>
        <w:t xml:space="preserve"> absorbed appears to be about 72.2% with a standard error of about 6%.  </w:t>
      </w:r>
    </w:p>
    <w:p w:rsidR="00FE0200" w:rsidRDefault="00FE0200" w:rsidP="00FE0200">
      <w:pPr>
        <w:pStyle w:val="Body2"/>
      </w:pPr>
      <w:r>
        <w:t>At least two types of corrections are indicated for these primary observations:</w:t>
      </w:r>
    </w:p>
    <w:p w:rsidR="00FE0200" w:rsidRDefault="00FE0200" w:rsidP="00FE0200">
      <w:pPr>
        <w:pStyle w:val="Body2"/>
        <w:numPr>
          <w:ilvl w:val="0"/>
          <w:numId w:val="4"/>
        </w:numPr>
      </w:pPr>
      <w:r>
        <w:t xml:space="preserve">Not all of the </w:t>
      </w:r>
      <w:proofErr w:type="spellStart"/>
      <w:r>
        <w:t>TCPy</w:t>
      </w:r>
      <w:proofErr w:type="spellEnd"/>
      <w:r>
        <w:t xml:space="preserve"> excreted by these men probably originated from the oral dose of </w:t>
      </w:r>
      <w:proofErr w:type="spellStart"/>
      <w:r>
        <w:t>chlropyrifos</w:t>
      </w:r>
      <w:proofErr w:type="spellEnd"/>
      <w:r>
        <w:t xml:space="preserve"> administered.  Some undoubtedly resulted from background dietary levels of </w:t>
      </w:r>
      <w:proofErr w:type="spellStart"/>
      <w:r>
        <w:t>TCPy</w:t>
      </w:r>
      <w:proofErr w:type="spellEnd"/>
      <w:r>
        <w:t xml:space="preserve"> and CPF resulting from the use of CPF in agriculture.</w:t>
      </w:r>
    </w:p>
    <w:p w:rsidR="00FE0200" w:rsidRDefault="00FE0200" w:rsidP="00FE0200">
      <w:pPr>
        <w:pStyle w:val="Body2"/>
        <w:numPr>
          <w:ilvl w:val="0"/>
          <w:numId w:val="4"/>
        </w:numPr>
      </w:pPr>
      <w:r>
        <w:t xml:space="preserve">Some fraction of the </w:t>
      </w:r>
      <w:proofErr w:type="spellStart"/>
      <w:r>
        <w:t>TCPy</w:t>
      </w:r>
      <w:proofErr w:type="spellEnd"/>
      <w:r>
        <w:t xml:space="preserve"> that did result from administered CPF remained in the body following the end of the observation period at 108 hours after dosing.</w:t>
      </w:r>
    </w:p>
    <w:p w:rsidR="00FE0200" w:rsidRDefault="00FE0200" w:rsidP="00FE0200">
      <w:pPr>
        <w:rPr>
          <w:rFonts w:asciiTheme="majorHAnsi" w:eastAsiaTheme="majorEastAsia" w:hAnsiTheme="majorHAnsi" w:cstheme="majorBidi"/>
          <w:b/>
          <w:bCs/>
          <w:color w:val="345A8A" w:themeColor="accent1" w:themeShade="B5"/>
          <w:sz w:val="32"/>
          <w:szCs w:val="32"/>
        </w:rPr>
      </w:pPr>
    </w:p>
    <w:p w:rsidR="00635E94" w:rsidRDefault="00635E94">
      <w:pPr>
        <w:rPr>
          <w:b/>
        </w:rPr>
      </w:pPr>
      <w:bookmarkStart w:id="3" w:name="_Toc143163421"/>
      <w:r>
        <w:rPr>
          <w:b/>
        </w:rPr>
        <w:br w:type="page"/>
      </w:r>
    </w:p>
    <w:p w:rsidR="00FE0200" w:rsidRDefault="00FE0200" w:rsidP="00FE0200">
      <w:pPr>
        <w:pBdr>
          <w:bottom w:val="single" w:sz="24" w:space="1" w:color="auto"/>
        </w:pBdr>
        <w:jc w:val="center"/>
        <w:rPr>
          <w:b/>
        </w:rPr>
      </w:pPr>
      <w:r w:rsidRPr="000772FD">
        <w:rPr>
          <w:b/>
        </w:rPr>
        <w:lastRenderedPageBreak/>
        <w:t xml:space="preserve">Table </w:t>
      </w:r>
      <w:bookmarkEnd w:id="3"/>
      <w:r w:rsidR="00635E94">
        <w:rPr>
          <w:b/>
        </w:rPr>
        <w:t>S8 (corresponds to Table V in the final technical report</w:t>
      </w:r>
      <w:r>
        <w:rPr>
          <w:b/>
        </w:rPr>
        <w:t xml:space="preserve">.  </w:t>
      </w:r>
      <w:r w:rsidRPr="00622122">
        <w:t xml:space="preserve">Observations of Blood </w:t>
      </w:r>
      <w:proofErr w:type="spellStart"/>
      <w:r w:rsidRPr="00622122">
        <w:t>Chlorpyrifos</w:t>
      </w:r>
      <w:proofErr w:type="spellEnd"/>
      <w:r w:rsidRPr="00622122">
        <w:t xml:space="preserve"> Levels in Five Subjects Given 0.5 mg/</w:t>
      </w:r>
      <w:proofErr w:type="gramStart"/>
      <w:r w:rsidRPr="00622122">
        <w:t xml:space="preserve">kg </w:t>
      </w:r>
      <w:r>
        <w:t xml:space="preserve"> Orally</w:t>
      </w:r>
      <w:proofErr w:type="gramEnd"/>
      <w:r>
        <w:t xml:space="preserve"> </w:t>
      </w:r>
      <w:r w:rsidRPr="00622122">
        <w:t>in the Early 1980s Set of Human Exposure Experiments, and Calculated Integral “Area Under the Concentration X Time Curve” (AUC) Values</w:t>
      </w:r>
    </w:p>
    <w:p w:rsidR="00FE0200" w:rsidRDefault="00FE0200" w:rsidP="00FE0200">
      <w:pPr>
        <w:spacing w:before="120"/>
        <w:jc w:val="center"/>
        <w:rPr>
          <w:b/>
        </w:rPr>
      </w:pPr>
      <w:r>
        <w:rPr>
          <w:b/>
        </w:rPr>
        <w:t xml:space="preserve">                                                         Individual Subjects</w:t>
      </w:r>
    </w:p>
    <w:tbl>
      <w:tblPr>
        <w:tblW w:w="9428" w:type="dxa"/>
        <w:tblInd w:w="180" w:type="dxa"/>
        <w:tblBorders>
          <w:top w:val="nil"/>
          <w:left w:val="nil"/>
          <w:bottom w:val="nil"/>
          <w:right w:val="nil"/>
        </w:tblBorders>
        <w:tblLayout w:type="fixed"/>
        <w:tblLook w:val="0000"/>
      </w:tblPr>
      <w:tblGrid>
        <w:gridCol w:w="3168"/>
        <w:gridCol w:w="1251"/>
        <w:gridCol w:w="1251"/>
        <w:gridCol w:w="1251"/>
        <w:gridCol w:w="1251"/>
        <w:gridCol w:w="1256"/>
      </w:tblGrid>
      <w:tr w:rsidR="00FE0200" w:rsidTr="003C352E">
        <w:trPr>
          <w:trHeight w:val="179"/>
        </w:trPr>
        <w:tc>
          <w:tcPr>
            <w:tcW w:w="3168" w:type="dxa"/>
            <w:tcBorders>
              <w:top w:val="nil"/>
              <w:left w:val="nil"/>
              <w:bottom w:val="single" w:sz="6" w:space="0" w:color="auto"/>
              <w:right w:val="nil"/>
            </w:tcBorders>
          </w:tcPr>
          <w:p w:rsidR="00FE0200" w:rsidRPr="00BD123D" w:rsidRDefault="00FE0200" w:rsidP="003C352E">
            <w:pPr>
              <w:pStyle w:val="Default"/>
              <w:spacing w:after="40"/>
              <w:jc w:val="center"/>
              <w:rPr>
                <w:sz w:val="20"/>
                <w:szCs w:val="18"/>
              </w:rPr>
            </w:pPr>
            <w:r w:rsidRPr="00BD123D">
              <w:rPr>
                <w:b/>
                <w:bCs/>
                <w:sz w:val="20"/>
                <w:szCs w:val="18"/>
              </w:rPr>
              <w:t>Hours After Dosing</w:t>
            </w:r>
          </w:p>
        </w:tc>
        <w:tc>
          <w:tcPr>
            <w:tcW w:w="1251" w:type="dxa"/>
            <w:tcBorders>
              <w:top w:val="nil"/>
              <w:left w:val="nil"/>
              <w:bottom w:val="single" w:sz="6" w:space="0" w:color="auto"/>
              <w:right w:val="nil"/>
            </w:tcBorders>
          </w:tcPr>
          <w:p w:rsidR="00FE0200" w:rsidRPr="00BD123D" w:rsidRDefault="00FE0200" w:rsidP="003C352E">
            <w:pPr>
              <w:pStyle w:val="Default"/>
              <w:spacing w:after="40"/>
              <w:jc w:val="center"/>
              <w:rPr>
                <w:sz w:val="20"/>
                <w:szCs w:val="18"/>
              </w:rPr>
            </w:pPr>
            <w:r w:rsidRPr="00BD123D">
              <w:rPr>
                <w:b/>
                <w:bCs/>
                <w:sz w:val="20"/>
                <w:szCs w:val="18"/>
              </w:rPr>
              <w:t xml:space="preserve">B </w:t>
            </w:r>
          </w:p>
        </w:tc>
        <w:tc>
          <w:tcPr>
            <w:tcW w:w="1251" w:type="dxa"/>
            <w:tcBorders>
              <w:top w:val="nil"/>
              <w:left w:val="nil"/>
              <w:bottom w:val="single" w:sz="6" w:space="0" w:color="auto"/>
              <w:right w:val="nil"/>
            </w:tcBorders>
          </w:tcPr>
          <w:p w:rsidR="00FE0200" w:rsidRPr="00BD123D" w:rsidRDefault="00FE0200" w:rsidP="003C352E">
            <w:pPr>
              <w:pStyle w:val="Default"/>
              <w:spacing w:after="40"/>
              <w:jc w:val="center"/>
              <w:rPr>
                <w:sz w:val="20"/>
                <w:szCs w:val="18"/>
              </w:rPr>
            </w:pPr>
            <w:r w:rsidRPr="00BD123D">
              <w:rPr>
                <w:b/>
                <w:bCs/>
                <w:sz w:val="20"/>
                <w:szCs w:val="18"/>
              </w:rPr>
              <w:t xml:space="preserve">C </w:t>
            </w:r>
          </w:p>
        </w:tc>
        <w:tc>
          <w:tcPr>
            <w:tcW w:w="1251" w:type="dxa"/>
            <w:tcBorders>
              <w:top w:val="nil"/>
              <w:left w:val="nil"/>
              <w:bottom w:val="single" w:sz="6" w:space="0" w:color="auto"/>
              <w:right w:val="nil"/>
            </w:tcBorders>
          </w:tcPr>
          <w:p w:rsidR="00FE0200" w:rsidRPr="00BD123D" w:rsidRDefault="00FE0200" w:rsidP="003C352E">
            <w:pPr>
              <w:pStyle w:val="Default"/>
              <w:spacing w:after="40"/>
              <w:jc w:val="center"/>
              <w:rPr>
                <w:sz w:val="20"/>
                <w:szCs w:val="18"/>
              </w:rPr>
            </w:pPr>
            <w:r w:rsidRPr="00BD123D">
              <w:rPr>
                <w:b/>
                <w:bCs/>
                <w:sz w:val="20"/>
                <w:szCs w:val="18"/>
              </w:rPr>
              <w:t xml:space="preserve">D </w:t>
            </w:r>
          </w:p>
        </w:tc>
        <w:tc>
          <w:tcPr>
            <w:tcW w:w="1251" w:type="dxa"/>
            <w:tcBorders>
              <w:top w:val="nil"/>
              <w:left w:val="nil"/>
              <w:bottom w:val="single" w:sz="6" w:space="0" w:color="auto"/>
              <w:right w:val="nil"/>
            </w:tcBorders>
          </w:tcPr>
          <w:p w:rsidR="00FE0200" w:rsidRPr="00BD123D" w:rsidRDefault="00FE0200" w:rsidP="003C352E">
            <w:pPr>
              <w:pStyle w:val="Default"/>
              <w:spacing w:after="40"/>
              <w:jc w:val="center"/>
              <w:rPr>
                <w:sz w:val="20"/>
                <w:szCs w:val="18"/>
              </w:rPr>
            </w:pPr>
            <w:r w:rsidRPr="00BD123D">
              <w:rPr>
                <w:b/>
                <w:bCs/>
                <w:sz w:val="20"/>
                <w:szCs w:val="18"/>
              </w:rPr>
              <w:t xml:space="preserve">E </w:t>
            </w:r>
          </w:p>
        </w:tc>
        <w:tc>
          <w:tcPr>
            <w:tcW w:w="1256" w:type="dxa"/>
            <w:tcBorders>
              <w:top w:val="nil"/>
              <w:left w:val="nil"/>
              <w:bottom w:val="single" w:sz="6" w:space="0" w:color="auto"/>
              <w:right w:val="nil"/>
            </w:tcBorders>
          </w:tcPr>
          <w:p w:rsidR="00FE0200" w:rsidRPr="00BD123D" w:rsidRDefault="00FE0200" w:rsidP="003C352E">
            <w:pPr>
              <w:pStyle w:val="Default"/>
              <w:spacing w:after="40"/>
              <w:jc w:val="center"/>
              <w:rPr>
                <w:sz w:val="20"/>
                <w:szCs w:val="18"/>
              </w:rPr>
            </w:pPr>
            <w:r w:rsidRPr="00BD123D">
              <w:rPr>
                <w:b/>
                <w:bCs/>
                <w:sz w:val="20"/>
                <w:szCs w:val="18"/>
              </w:rPr>
              <w:t xml:space="preserve">F </w:t>
            </w:r>
          </w:p>
        </w:tc>
      </w:tr>
      <w:tr w:rsidR="00FE0200" w:rsidTr="003C352E">
        <w:trPr>
          <w:trHeight w:val="119"/>
        </w:trPr>
        <w:tc>
          <w:tcPr>
            <w:tcW w:w="9428" w:type="dxa"/>
            <w:gridSpan w:val="6"/>
            <w:tcBorders>
              <w:top w:val="single" w:sz="6" w:space="0" w:color="auto"/>
              <w:left w:val="nil"/>
              <w:bottom w:val="nil"/>
              <w:right w:val="nil"/>
            </w:tcBorders>
          </w:tcPr>
          <w:p w:rsidR="00FE0200" w:rsidRPr="00BD123D" w:rsidRDefault="00FE0200" w:rsidP="003C352E">
            <w:pPr>
              <w:pStyle w:val="Default"/>
              <w:spacing w:after="40"/>
              <w:jc w:val="center"/>
              <w:rPr>
                <w:sz w:val="20"/>
                <w:szCs w:val="18"/>
              </w:rPr>
            </w:pPr>
            <w:r w:rsidRPr="00BD123D">
              <w:rPr>
                <w:b/>
                <w:bCs/>
                <w:sz w:val="20"/>
                <w:szCs w:val="18"/>
              </w:rPr>
              <w:t xml:space="preserve">Blood </w:t>
            </w:r>
            <w:proofErr w:type="spellStart"/>
            <w:r w:rsidRPr="00BD123D">
              <w:rPr>
                <w:b/>
                <w:bCs/>
                <w:sz w:val="20"/>
                <w:szCs w:val="18"/>
              </w:rPr>
              <w:t>C</w:t>
            </w:r>
            <w:r>
              <w:rPr>
                <w:b/>
                <w:bCs/>
                <w:sz w:val="20"/>
                <w:szCs w:val="18"/>
              </w:rPr>
              <w:t>hlorpyrifos</w:t>
            </w:r>
            <w:proofErr w:type="spellEnd"/>
            <w:r>
              <w:rPr>
                <w:b/>
                <w:bCs/>
                <w:sz w:val="20"/>
                <w:szCs w:val="18"/>
              </w:rPr>
              <w:t xml:space="preserve"> Levels (</w:t>
            </w:r>
            <w:proofErr w:type="spellStart"/>
            <w:r w:rsidRPr="00BD123D">
              <w:rPr>
                <w:b/>
                <w:bCs/>
                <w:sz w:val="20"/>
                <w:szCs w:val="18"/>
              </w:rPr>
              <w:t>ng</w:t>
            </w:r>
            <w:proofErr w:type="spellEnd"/>
            <w:r w:rsidRPr="00BD123D">
              <w:rPr>
                <w:b/>
                <w:bCs/>
                <w:sz w:val="20"/>
                <w:szCs w:val="18"/>
              </w:rPr>
              <w:t xml:space="preserve">/ml) </w:t>
            </w:r>
          </w:p>
        </w:tc>
      </w:tr>
      <w:tr w:rsidR="00FE0200" w:rsidTr="003C352E">
        <w:trPr>
          <w:trHeight w:val="118"/>
        </w:trPr>
        <w:tc>
          <w:tcPr>
            <w:tcW w:w="3168" w:type="dxa"/>
            <w:tcBorders>
              <w:top w:val="nil"/>
              <w:left w:val="nil"/>
              <w:bottom w:val="nil"/>
              <w:right w:val="nil"/>
            </w:tcBorders>
          </w:tcPr>
          <w:p w:rsidR="00FE0200" w:rsidRPr="00BD123D" w:rsidRDefault="00FE0200" w:rsidP="003C352E">
            <w:pPr>
              <w:pStyle w:val="Default"/>
              <w:spacing w:after="40"/>
              <w:jc w:val="center"/>
              <w:rPr>
                <w:sz w:val="20"/>
                <w:szCs w:val="18"/>
              </w:rPr>
            </w:pPr>
            <w:r w:rsidRPr="00BD123D">
              <w:rPr>
                <w:sz w:val="20"/>
                <w:szCs w:val="18"/>
              </w:rPr>
              <w:t xml:space="preserve">0 </w:t>
            </w:r>
          </w:p>
        </w:tc>
        <w:tc>
          <w:tcPr>
            <w:tcW w:w="1251" w:type="dxa"/>
            <w:tcBorders>
              <w:top w:val="nil"/>
              <w:left w:val="nil"/>
              <w:bottom w:val="nil"/>
              <w:right w:val="nil"/>
            </w:tcBorders>
          </w:tcPr>
          <w:p w:rsidR="00FE0200" w:rsidRPr="00BD123D" w:rsidRDefault="00FE0200" w:rsidP="003C352E">
            <w:pPr>
              <w:pStyle w:val="Default"/>
              <w:spacing w:after="40"/>
              <w:jc w:val="center"/>
              <w:rPr>
                <w:sz w:val="20"/>
                <w:szCs w:val="18"/>
                <w:vertAlign w:val="superscript"/>
              </w:rPr>
            </w:pPr>
            <w:r w:rsidRPr="00BD123D">
              <w:rPr>
                <w:sz w:val="20"/>
                <w:szCs w:val="18"/>
              </w:rPr>
              <w:t xml:space="preserve">ND </w:t>
            </w:r>
            <w:r w:rsidRPr="00BD123D">
              <w:rPr>
                <w:sz w:val="20"/>
                <w:szCs w:val="18"/>
                <w:vertAlign w:val="superscript"/>
              </w:rPr>
              <w:t>a</w:t>
            </w:r>
          </w:p>
        </w:tc>
        <w:tc>
          <w:tcPr>
            <w:tcW w:w="1251" w:type="dxa"/>
            <w:tcBorders>
              <w:top w:val="nil"/>
              <w:left w:val="nil"/>
              <w:bottom w:val="nil"/>
              <w:right w:val="nil"/>
            </w:tcBorders>
          </w:tcPr>
          <w:p w:rsidR="00FE0200" w:rsidRPr="00BD123D" w:rsidRDefault="00FE0200" w:rsidP="003C352E">
            <w:pPr>
              <w:pStyle w:val="Default"/>
              <w:spacing w:after="40"/>
              <w:jc w:val="center"/>
              <w:rPr>
                <w:sz w:val="20"/>
                <w:szCs w:val="18"/>
              </w:rPr>
            </w:pPr>
            <w:r w:rsidRPr="00BD123D">
              <w:rPr>
                <w:sz w:val="20"/>
                <w:szCs w:val="18"/>
              </w:rPr>
              <w:t xml:space="preserve">ND </w:t>
            </w:r>
          </w:p>
        </w:tc>
        <w:tc>
          <w:tcPr>
            <w:tcW w:w="1251" w:type="dxa"/>
            <w:tcBorders>
              <w:top w:val="nil"/>
              <w:left w:val="nil"/>
              <w:bottom w:val="nil"/>
              <w:right w:val="nil"/>
            </w:tcBorders>
          </w:tcPr>
          <w:p w:rsidR="00FE0200" w:rsidRPr="00BD123D" w:rsidRDefault="00FE0200" w:rsidP="003C352E">
            <w:pPr>
              <w:pStyle w:val="Default"/>
              <w:spacing w:after="40"/>
              <w:jc w:val="center"/>
              <w:rPr>
                <w:sz w:val="20"/>
                <w:szCs w:val="18"/>
              </w:rPr>
            </w:pPr>
            <w:r w:rsidRPr="00BD123D">
              <w:rPr>
                <w:sz w:val="20"/>
                <w:szCs w:val="18"/>
              </w:rPr>
              <w:t xml:space="preserve">ND </w:t>
            </w:r>
          </w:p>
        </w:tc>
        <w:tc>
          <w:tcPr>
            <w:tcW w:w="1251" w:type="dxa"/>
            <w:tcBorders>
              <w:top w:val="nil"/>
              <w:left w:val="nil"/>
              <w:bottom w:val="nil"/>
              <w:right w:val="nil"/>
            </w:tcBorders>
          </w:tcPr>
          <w:p w:rsidR="00FE0200" w:rsidRPr="00BD123D" w:rsidRDefault="00FE0200" w:rsidP="003C352E">
            <w:pPr>
              <w:pStyle w:val="Default"/>
              <w:spacing w:after="40"/>
              <w:jc w:val="center"/>
              <w:rPr>
                <w:sz w:val="20"/>
                <w:szCs w:val="18"/>
              </w:rPr>
            </w:pPr>
            <w:r w:rsidRPr="00BD123D">
              <w:rPr>
                <w:sz w:val="20"/>
                <w:szCs w:val="18"/>
              </w:rPr>
              <w:t xml:space="preserve">ND </w:t>
            </w:r>
          </w:p>
        </w:tc>
        <w:tc>
          <w:tcPr>
            <w:tcW w:w="1256" w:type="dxa"/>
            <w:tcBorders>
              <w:top w:val="nil"/>
              <w:left w:val="nil"/>
              <w:bottom w:val="nil"/>
              <w:right w:val="nil"/>
            </w:tcBorders>
            <w:vAlign w:val="bottom"/>
          </w:tcPr>
          <w:p w:rsidR="00FE0200" w:rsidRPr="00BD123D" w:rsidRDefault="00FE0200" w:rsidP="003C352E">
            <w:pPr>
              <w:jc w:val="center"/>
              <w:rPr>
                <w:sz w:val="20"/>
              </w:rPr>
            </w:pPr>
            <w:r w:rsidRPr="00BD123D">
              <w:rPr>
                <w:sz w:val="20"/>
              </w:rPr>
              <w:t>9</w:t>
            </w:r>
          </w:p>
        </w:tc>
      </w:tr>
      <w:tr w:rsidR="00FE0200" w:rsidTr="003C352E">
        <w:trPr>
          <w:trHeight w:val="118"/>
        </w:trPr>
        <w:tc>
          <w:tcPr>
            <w:tcW w:w="3168" w:type="dxa"/>
            <w:tcBorders>
              <w:top w:val="nil"/>
              <w:left w:val="nil"/>
              <w:bottom w:val="nil"/>
              <w:right w:val="nil"/>
            </w:tcBorders>
          </w:tcPr>
          <w:p w:rsidR="00FE0200" w:rsidRPr="00BD123D" w:rsidRDefault="00FE0200" w:rsidP="003C352E">
            <w:pPr>
              <w:pStyle w:val="Default"/>
              <w:spacing w:after="40"/>
              <w:jc w:val="center"/>
              <w:rPr>
                <w:sz w:val="20"/>
                <w:szCs w:val="18"/>
              </w:rPr>
            </w:pPr>
            <w:r w:rsidRPr="00BD123D">
              <w:rPr>
                <w:sz w:val="20"/>
                <w:szCs w:val="18"/>
              </w:rPr>
              <w:t xml:space="preserve">1 </w:t>
            </w:r>
          </w:p>
        </w:tc>
        <w:tc>
          <w:tcPr>
            <w:tcW w:w="1251" w:type="dxa"/>
            <w:tcBorders>
              <w:top w:val="nil"/>
              <w:left w:val="nil"/>
              <w:bottom w:val="nil"/>
              <w:right w:val="nil"/>
            </w:tcBorders>
          </w:tcPr>
          <w:p w:rsidR="00FE0200" w:rsidRPr="00BD123D" w:rsidRDefault="00FE0200" w:rsidP="003C352E">
            <w:pPr>
              <w:pStyle w:val="Default"/>
              <w:spacing w:after="40"/>
              <w:jc w:val="center"/>
              <w:rPr>
                <w:sz w:val="20"/>
                <w:szCs w:val="18"/>
              </w:rPr>
            </w:pPr>
            <w:r w:rsidRPr="00BD123D">
              <w:rPr>
                <w:sz w:val="20"/>
                <w:szCs w:val="18"/>
              </w:rPr>
              <w:t xml:space="preserve">ND </w:t>
            </w:r>
          </w:p>
        </w:tc>
        <w:tc>
          <w:tcPr>
            <w:tcW w:w="1251" w:type="dxa"/>
            <w:tcBorders>
              <w:top w:val="nil"/>
              <w:left w:val="nil"/>
              <w:bottom w:val="nil"/>
              <w:right w:val="nil"/>
            </w:tcBorders>
          </w:tcPr>
          <w:p w:rsidR="00FE0200" w:rsidRPr="00BD123D" w:rsidRDefault="00FE0200" w:rsidP="003C352E">
            <w:pPr>
              <w:pStyle w:val="Default"/>
              <w:spacing w:after="40"/>
              <w:jc w:val="center"/>
              <w:rPr>
                <w:sz w:val="20"/>
                <w:szCs w:val="18"/>
              </w:rPr>
            </w:pPr>
            <w:r w:rsidRPr="00BD123D">
              <w:rPr>
                <w:sz w:val="20"/>
                <w:szCs w:val="18"/>
              </w:rPr>
              <w:t xml:space="preserve">ND </w:t>
            </w:r>
          </w:p>
        </w:tc>
        <w:tc>
          <w:tcPr>
            <w:tcW w:w="1251" w:type="dxa"/>
            <w:tcBorders>
              <w:top w:val="nil"/>
              <w:left w:val="nil"/>
              <w:bottom w:val="nil"/>
              <w:right w:val="nil"/>
            </w:tcBorders>
            <w:vAlign w:val="bottom"/>
          </w:tcPr>
          <w:p w:rsidR="00FE0200" w:rsidRPr="00BD123D" w:rsidRDefault="00FE0200" w:rsidP="003C352E">
            <w:pPr>
              <w:jc w:val="center"/>
              <w:rPr>
                <w:sz w:val="20"/>
              </w:rPr>
            </w:pPr>
            <w:r w:rsidRPr="00BD123D">
              <w:rPr>
                <w:sz w:val="20"/>
              </w:rPr>
              <w:t>6</w:t>
            </w:r>
          </w:p>
        </w:tc>
        <w:tc>
          <w:tcPr>
            <w:tcW w:w="1251" w:type="dxa"/>
            <w:tcBorders>
              <w:top w:val="nil"/>
              <w:left w:val="nil"/>
              <w:bottom w:val="nil"/>
              <w:right w:val="nil"/>
            </w:tcBorders>
            <w:vAlign w:val="bottom"/>
          </w:tcPr>
          <w:p w:rsidR="00FE0200" w:rsidRPr="00BD123D" w:rsidRDefault="00FE0200" w:rsidP="003C352E">
            <w:pPr>
              <w:jc w:val="center"/>
              <w:rPr>
                <w:sz w:val="20"/>
              </w:rPr>
            </w:pPr>
            <w:r w:rsidRPr="00BD123D">
              <w:rPr>
                <w:sz w:val="20"/>
              </w:rPr>
              <w:t>5</w:t>
            </w:r>
          </w:p>
        </w:tc>
        <w:tc>
          <w:tcPr>
            <w:tcW w:w="1256" w:type="dxa"/>
            <w:tcBorders>
              <w:top w:val="nil"/>
              <w:left w:val="nil"/>
              <w:bottom w:val="nil"/>
              <w:right w:val="nil"/>
            </w:tcBorders>
            <w:vAlign w:val="bottom"/>
          </w:tcPr>
          <w:p w:rsidR="00FE0200" w:rsidRPr="00BD123D" w:rsidRDefault="00FE0200" w:rsidP="003C352E">
            <w:pPr>
              <w:jc w:val="center"/>
              <w:rPr>
                <w:sz w:val="20"/>
              </w:rPr>
            </w:pPr>
            <w:r w:rsidRPr="00BD123D">
              <w:rPr>
                <w:sz w:val="20"/>
              </w:rPr>
              <w:t>9</w:t>
            </w:r>
          </w:p>
        </w:tc>
      </w:tr>
      <w:tr w:rsidR="00FE0200" w:rsidTr="003C352E">
        <w:trPr>
          <w:trHeight w:val="118"/>
        </w:trPr>
        <w:tc>
          <w:tcPr>
            <w:tcW w:w="3168" w:type="dxa"/>
            <w:tcBorders>
              <w:top w:val="nil"/>
              <w:left w:val="nil"/>
              <w:bottom w:val="nil"/>
              <w:right w:val="nil"/>
            </w:tcBorders>
          </w:tcPr>
          <w:p w:rsidR="00FE0200" w:rsidRPr="00BD123D" w:rsidRDefault="00FE0200" w:rsidP="003C352E">
            <w:pPr>
              <w:pStyle w:val="Default"/>
              <w:spacing w:after="40"/>
              <w:jc w:val="center"/>
              <w:rPr>
                <w:sz w:val="20"/>
                <w:szCs w:val="18"/>
              </w:rPr>
            </w:pPr>
            <w:r w:rsidRPr="00BD123D">
              <w:rPr>
                <w:sz w:val="20"/>
                <w:szCs w:val="18"/>
              </w:rPr>
              <w:t xml:space="preserve">2 </w:t>
            </w:r>
          </w:p>
        </w:tc>
        <w:tc>
          <w:tcPr>
            <w:tcW w:w="1251" w:type="dxa"/>
            <w:tcBorders>
              <w:top w:val="nil"/>
              <w:left w:val="nil"/>
              <w:bottom w:val="nil"/>
              <w:right w:val="nil"/>
            </w:tcBorders>
          </w:tcPr>
          <w:p w:rsidR="00FE0200" w:rsidRPr="00BD123D" w:rsidRDefault="00FE0200" w:rsidP="003C352E">
            <w:pPr>
              <w:pStyle w:val="Default"/>
              <w:spacing w:after="40"/>
              <w:jc w:val="center"/>
              <w:rPr>
                <w:sz w:val="20"/>
                <w:szCs w:val="18"/>
              </w:rPr>
            </w:pPr>
            <w:r w:rsidRPr="00BD123D">
              <w:rPr>
                <w:sz w:val="20"/>
                <w:szCs w:val="18"/>
              </w:rPr>
              <w:t xml:space="preserve">ND </w:t>
            </w:r>
          </w:p>
        </w:tc>
        <w:tc>
          <w:tcPr>
            <w:tcW w:w="1251" w:type="dxa"/>
            <w:tcBorders>
              <w:top w:val="nil"/>
              <w:left w:val="nil"/>
              <w:bottom w:val="nil"/>
              <w:right w:val="nil"/>
            </w:tcBorders>
            <w:vAlign w:val="bottom"/>
          </w:tcPr>
          <w:p w:rsidR="00FE0200" w:rsidRPr="00BD123D" w:rsidRDefault="00FE0200" w:rsidP="003C352E">
            <w:pPr>
              <w:jc w:val="center"/>
              <w:rPr>
                <w:sz w:val="20"/>
              </w:rPr>
            </w:pPr>
            <w:r w:rsidRPr="00BD123D">
              <w:rPr>
                <w:sz w:val="20"/>
              </w:rPr>
              <w:t>19</w:t>
            </w:r>
          </w:p>
        </w:tc>
        <w:tc>
          <w:tcPr>
            <w:tcW w:w="1251" w:type="dxa"/>
            <w:tcBorders>
              <w:top w:val="nil"/>
              <w:left w:val="nil"/>
              <w:bottom w:val="nil"/>
              <w:right w:val="nil"/>
            </w:tcBorders>
            <w:vAlign w:val="bottom"/>
          </w:tcPr>
          <w:p w:rsidR="00FE0200" w:rsidRPr="00BD123D" w:rsidRDefault="00FE0200" w:rsidP="003C352E">
            <w:pPr>
              <w:jc w:val="center"/>
              <w:rPr>
                <w:sz w:val="20"/>
              </w:rPr>
            </w:pPr>
            <w:r w:rsidRPr="00BD123D">
              <w:rPr>
                <w:sz w:val="20"/>
              </w:rPr>
              <w:t>?</w:t>
            </w:r>
            <w:r>
              <w:rPr>
                <w:sz w:val="20"/>
              </w:rPr>
              <w:t xml:space="preserve"> (blank in table)</w:t>
            </w:r>
          </w:p>
        </w:tc>
        <w:tc>
          <w:tcPr>
            <w:tcW w:w="1251" w:type="dxa"/>
            <w:tcBorders>
              <w:top w:val="nil"/>
              <w:left w:val="nil"/>
              <w:bottom w:val="nil"/>
              <w:right w:val="nil"/>
            </w:tcBorders>
            <w:vAlign w:val="bottom"/>
          </w:tcPr>
          <w:p w:rsidR="00FE0200" w:rsidRPr="00BD123D" w:rsidRDefault="00FE0200" w:rsidP="003C352E">
            <w:pPr>
              <w:jc w:val="center"/>
              <w:rPr>
                <w:sz w:val="20"/>
              </w:rPr>
            </w:pPr>
            <w:r w:rsidRPr="00BD123D">
              <w:rPr>
                <w:sz w:val="20"/>
              </w:rPr>
              <w:t>11</w:t>
            </w:r>
          </w:p>
        </w:tc>
        <w:tc>
          <w:tcPr>
            <w:tcW w:w="1256" w:type="dxa"/>
            <w:tcBorders>
              <w:top w:val="nil"/>
              <w:left w:val="nil"/>
              <w:bottom w:val="nil"/>
              <w:right w:val="nil"/>
            </w:tcBorders>
            <w:vAlign w:val="bottom"/>
          </w:tcPr>
          <w:p w:rsidR="00FE0200" w:rsidRPr="00BD123D" w:rsidRDefault="00FE0200" w:rsidP="003C352E">
            <w:pPr>
              <w:jc w:val="center"/>
              <w:rPr>
                <w:sz w:val="20"/>
              </w:rPr>
            </w:pPr>
            <w:r w:rsidRPr="00BD123D">
              <w:rPr>
                <w:sz w:val="20"/>
              </w:rPr>
              <w:t>15</w:t>
            </w:r>
          </w:p>
        </w:tc>
      </w:tr>
      <w:tr w:rsidR="00FE0200" w:rsidTr="003C352E">
        <w:trPr>
          <w:trHeight w:val="118"/>
        </w:trPr>
        <w:tc>
          <w:tcPr>
            <w:tcW w:w="3168" w:type="dxa"/>
            <w:tcBorders>
              <w:top w:val="nil"/>
              <w:left w:val="nil"/>
              <w:bottom w:val="nil"/>
              <w:right w:val="nil"/>
            </w:tcBorders>
          </w:tcPr>
          <w:p w:rsidR="00FE0200" w:rsidRPr="00BD123D" w:rsidRDefault="00FE0200" w:rsidP="003C352E">
            <w:pPr>
              <w:pStyle w:val="Default"/>
              <w:spacing w:after="40"/>
              <w:jc w:val="center"/>
              <w:rPr>
                <w:sz w:val="20"/>
                <w:szCs w:val="18"/>
              </w:rPr>
            </w:pPr>
            <w:r w:rsidRPr="00BD123D">
              <w:rPr>
                <w:sz w:val="20"/>
                <w:szCs w:val="18"/>
              </w:rPr>
              <w:t xml:space="preserve">4 </w:t>
            </w:r>
          </w:p>
        </w:tc>
        <w:tc>
          <w:tcPr>
            <w:tcW w:w="1251" w:type="dxa"/>
            <w:tcBorders>
              <w:top w:val="nil"/>
              <w:left w:val="nil"/>
              <w:bottom w:val="nil"/>
              <w:right w:val="nil"/>
            </w:tcBorders>
          </w:tcPr>
          <w:p w:rsidR="00FE0200" w:rsidRPr="00BD123D" w:rsidRDefault="00FE0200" w:rsidP="003C352E">
            <w:pPr>
              <w:pStyle w:val="Default"/>
              <w:spacing w:after="40"/>
              <w:jc w:val="center"/>
              <w:rPr>
                <w:sz w:val="20"/>
                <w:szCs w:val="18"/>
              </w:rPr>
            </w:pPr>
            <w:r w:rsidRPr="00BD123D">
              <w:rPr>
                <w:sz w:val="20"/>
                <w:szCs w:val="18"/>
              </w:rPr>
              <w:t xml:space="preserve">ND </w:t>
            </w:r>
          </w:p>
        </w:tc>
        <w:tc>
          <w:tcPr>
            <w:tcW w:w="1251" w:type="dxa"/>
            <w:tcBorders>
              <w:top w:val="nil"/>
              <w:left w:val="nil"/>
              <w:bottom w:val="nil"/>
              <w:right w:val="nil"/>
            </w:tcBorders>
            <w:vAlign w:val="bottom"/>
          </w:tcPr>
          <w:p w:rsidR="00FE0200" w:rsidRPr="00BD123D" w:rsidRDefault="00FE0200" w:rsidP="003C352E">
            <w:pPr>
              <w:jc w:val="center"/>
              <w:rPr>
                <w:sz w:val="20"/>
              </w:rPr>
            </w:pPr>
            <w:r w:rsidRPr="00BD123D">
              <w:rPr>
                <w:sz w:val="20"/>
              </w:rPr>
              <w:t>9</w:t>
            </w:r>
          </w:p>
        </w:tc>
        <w:tc>
          <w:tcPr>
            <w:tcW w:w="1251" w:type="dxa"/>
            <w:tcBorders>
              <w:top w:val="nil"/>
              <w:left w:val="nil"/>
              <w:bottom w:val="nil"/>
              <w:right w:val="nil"/>
            </w:tcBorders>
            <w:vAlign w:val="bottom"/>
          </w:tcPr>
          <w:p w:rsidR="00FE0200" w:rsidRPr="00BD123D" w:rsidRDefault="00FE0200" w:rsidP="003C352E">
            <w:pPr>
              <w:jc w:val="center"/>
              <w:rPr>
                <w:sz w:val="20"/>
              </w:rPr>
            </w:pPr>
            <w:r w:rsidRPr="00BD123D">
              <w:rPr>
                <w:sz w:val="20"/>
              </w:rPr>
              <w:t>21</w:t>
            </w:r>
          </w:p>
        </w:tc>
        <w:tc>
          <w:tcPr>
            <w:tcW w:w="1251" w:type="dxa"/>
            <w:tcBorders>
              <w:top w:val="nil"/>
              <w:left w:val="nil"/>
              <w:bottom w:val="nil"/>
              <w:right w:val="nil"/>
            </w:tcBorders>
            <w:vAlign w:val="bottom"/>
          </w:tcPr>
          <w:p w:rsidR="00FE0200" w:rsidRPr="00BD123D" w:rsidRDefault="00FE0200" w:rsidP="003C352E">
            <w:pPr>
              <w:jc w:val="center"/>
              <w:rPr>
                <w:sz w:val="20"/>
              </w:rPr>
            </w:pPr>
            <w:r w:rsidRPr="00BD123D">
              <w:rPr>
                <w:sz w:val="20"/>
              </w:rPr>
              <w:t>8</w:t>
            </w:r>
          </w:p>
        </w:tc>
        <w:tc>
          <w:tcPr>
            <w:tcW w:w="1256" w:type="dxa"/>
            <w:tcBorders>
              <w:top w:val="nil"/>
              <w:left w:val="nil"/>
              <w:bottom w:val="nil"/>
              <w:right w:val="nil"/>
            </w:tcBorders>
            <w:vAlign w:val="bottom"/>
          </w:tcPr>
          <w:p w:rsidR="00FE0200" w:rsidRPr="00BD123D" w:rsidRDefault="00FE0200" w:rsidP="003C352E">
            <w:pPr>
              <w:jc w:val="center"/>
              <w:rPr>
                <w:sz w:val="20"/>
              </w:rPr>
            </w:pPr>
            <w:r w:rsidRPr="00BD123D">
              <w:rPr>
                <w:sz w:val="20"/>
              </w:rPr>
              <w:t>9</w:t>
            </w:r>
          </w:p>
        </w:tc>
      </w:tr>
      <w:tr w:rsidR="00FE0200" w:rsidTr="003C352E">
        <w:trPr>
          <w:trHeight w:val="118"/>
        </w:trPr>
        <w:tc>
          <w:tcPr>
            <w:tcW w:w="3168" w:type="dxa"/>
            <w:tcBorders>
              <w:top w:val="nil"/>
              <w:left w:val="nil"/>
              <w:bottom w:val="nil"/>
              <w:right w:val="nil"/>
            </w:tcBorders>
          </w:tcPr>
          <w:p w:rsidR="00FE0200" w:rsidRPr="00BD123D" w:rsidRDefault="00FE0200" w:rsidP="003C352E">
            <w:pPr>
              <w:pStyle w:val="Default"/>
              <w:spacing w:after="40"/>
              <w:jc w:val="center"/>
              <w:rPr>
                <w:sz w:val="20"/>
                <w:szCs w:val="18"/>
              </w:rPr>
            </w:pPr>
            <w:r w:rsidRPr="00BD123D">
              <w:rPr>
                <w:sz w:val="20"/>
                <w:szCs w:val="18"/>
              </w:rPr>
              <w:t xml:space="preserve">6 </w:t>
            </w:r>
          </w:p>
        </w:tc>
        <w:tc>
          <w:tcPr>
            <w:tcW w:w="1251" w:type="dxa"/>
            <w:tcBorders>
              <w:top w:val="nil"/>
              <w:left w:val="nil"/>
              <w:bottom w:val="nil"/>
              <w:right w:val="nil"/>
            </w:tcBorders>
            <w:vAlign w:val="bottom"/>
          </w:tcPr>
          <w:p w:rsidR="00FE0200" w:rsidRPr="00BD123D" w:rsidRDefault="00FE0200" w:rsidP="003C352E">
            <w:pPr>
              <w:jc w:val="center"/>
              <w:rPr>
                <w:sz w:val="20"/>
              </w:rPr>
            </w:pPr>
            <w:r w:rsidRPr="00BD123D">
              <w:rPr>
                <w:sz w:val="20"/>
              </w:rPr>
              <w:t>12</w:t>
            </w:r>
          </w:p>
        </w:tc>
        <w:tc>
          <w:tcPr>
            <w:tcW w:w="1251" w:type="dxa"/>
            <w:tcBorders>
              <w:top w:val="nil"/>
              <w:left w:val="nil"/>
              <w:bottom w:val="nil"/>
              <w:right w:val="nil"/>
            </w:tcBorders>
            <w:vAlign w:val="bottom"/>
          </w:tcPr>
          <w:p w:rsidR="00FE0200" w:rsidRPr="00BD123D" w:rsidRDefault="00FE0200" w:rsidP="003C352E">
            <w:pPr>
              <w:jc w:val="center"/>
              <w:rPr>
                <w:sz w:val="20"/>
              </w:rPr>
            </w:pPr>
            <w:r w:rsidRPr="00BD123D">
              <w:rPr>
                <w:sz w:val="20"/>
              </w:rPr>
              <w:t>12</w:t>
            </w:r>
          </w:p>
        </w:tc>
        <w:tc>
          <w:tcPr>
            <w:tcW w:w="1251" w:type="dxa"/>
            <w:tcBorders>
              <w:top w:val="nil"/>
              <w:left w:val="nil"/>
              <w:bottom w:val="nil"/>
              <w:right w:val="nil"/>
            </w:tcBorders>
            <w:vAlign w:val="bottom"/>
          </w:tcPr>
          <w:p w:rsidR="00FE0200" w:rsidRPr="00BD123D" w:rsidRDefault="00FE0200" w:rsidP="003C352E">
            <w:pPr>
              <w:jc w:val="center"/>
              <w:rPr>
                <w:sz w:val="20"/>
              </w:rPr>
            </w:pPr>
            <w:r w:rsidRPr="00BD123D">
              <w:rPr>
                <w:sz w:val="20"/>
              </w:rPr>
              <w:t>21</w:t>
            </w:r>
          </w:p>
        </w:tc>
        <w:tc>
          <w:tcPr>
            <w:tcW w:w="1251" w:type="dxa"/>
            <w:tcBorders>
              <w:top w:val="nil"/>
              <w:left w:val="nil"/>
              <w:bottom w:val="nil"/>
              <w:right w:val="nil"/>
            </w:tcBorders>
            <w:vAlign w:val="bottom"/>
          </w:tcPr>
          <w:p w:rsidR="00FE0200" w:rsidRPr="00BD123D" w:rsidRDefault="00FE0200" w:rsidP="003C352E">
            <w:pPr>
              <w:jc w:val="center"/>
              <w:rPr>
                <w:sz w:val="20"/>
              </w:rPr>
            </w:pPr>
            <w:r w:rsidRPr="00BD123D">
              <w:rPr>
                <w:sz w:val="20"/>
              </w:rPr>
              <w:t>8</w:t>
            </w:r>
          </w:p>
        </w:tc>
        <w:tc>
          <w:tcPr>
            <w:tcW w:w="1256" w:type="dxa"/>
            <w:tcBorders>
              <w:top w:val="nil"/>
              <w:left w:val="nil"/>
              <w:bottom w:val="nil"/>
              <w:right w:val="nil"/>
            </w:tcBorders>
            <w:vAlign w:val="bottom"/>
          </w:tcPr>
          <w:p w:rsidR="00FE0200" w:rsidRPr="00BD123D" w:rsidRDefault="00FE0200" w:rsidP="003C352E">
            <w:pPr>
              <w:jc w:val="center"/>
              <w:rPr>
                <w:sz w:val="20"/>
              </w:rPr>
            </w:pPr>
            <w:r w:rsidRPr="00BD123D">
              <w:rPr>
                <w:sz w:val="20"/>
              </w:rPr>
              <w:t>18</w:t>
            </w:r>
          </w:p>
        </w:tc>
      </w:tr>
      <w:tr w:rsidR="00FE0200" w:rsidTr="003C352E">
        <w:trPr>
          <w:trHeight w:val="118"/>
        </w:trPr>
        <w:tc>
          <w:tcPr>
            <w:tcW w:w="3168" w:type="dxa"/>
            <w:tcBorders>
              <w:top w:val="nil"/>
              <w:left w:val="nil"/>
              <w:bottom w:val="nil"/>
              <w:right w:val="nil"/>
            </w:tcBorders>
          </w:tcPr>
          <w:p w:rsidR="00FE0200" w:rsidRPr="00BD123D" w:rsidRDefault="00FE0200" w:rsidP="003C352E">
            <w:pPr>
              <w:pStyle w:val="Default"/>
              <w:spacing w:after="40"/>
              <w:jc w:val="center"/>
              <w:rPr>
                <w:sz w:val="20"/>
                <w:szCs w:val="18"/>
              </w:rPr>
            </w:pPr>
            <w:r w:rsidRPr="00BD123D">
              <w:rPr>
                <w:sz w:val="20"/>
                <w:szCs w:val="18"/>
              </w:rPr>
              <w:t xml:space="preserve">8 </w:t>
            </w:r>
          </w:p>
        </w:tc>
        <w:tc>
          <w:tcPr>
            <w:tcW w:w="1251" w:type="dxa"/>
            <w:tcBorders>
              <w:top w:val="nil"/>
              <w:left w:val="nil"/>
              <w:bottom w:val="nil"/>
              <w:right w:val="nil"/>
            </w:tcBorders>
            <w:vAlign w:val="bottom"/>
          </w:tcPr>
          <w:p w:rsidR="00FE0200" w:rsidRPr="00BD123D" w:rsidRDefault="00FE0200" w:rsidP="003C352E">
            <w:pPr>
              <w:jc w:val="center"/>
              <w:rPr>
                <w:sz w:val="20"/>
              </w:rPr>
            </w:pPr>
            <w:r w:rsidRPr="00BD123D">
              <w:rPr>
                <w:sz w:val="20"/>
              </w:rPr>
              <w:t>7</w:t>
            </w:r>
          </w:p>
        </w:tc>
        <w:tc>
          <w:tcPr>
            <w:tcW w:w="1251" w:type="dxa"/>
            <w:tcBorders>
              <w:top w:val="nil"/>
              <w:left w:val="nil"/>
              <w:bottom w:val="nil"/>
              <w:right w:val="nil"/>
            </w:tcBorders>
            <w:vAlign w:val="bottom"/>
          </w:tcPr>
          <w:p w:rsidR="00FE0200" w:rsidRPr="00BD123D" w:rsidRDefault="00FE0200" w:rsidP="003C352E">
            <w:pPr>
              <w:jc w:val="center"/>
              <w:rPr>
                <w:sz w:val="20"/>
              </w:rPr>
            </w:pPr>
            <w:r w:rsidRPr="00BD123D">
              <w:rPr>
                <w:sz w:val="20"/>
              </w:rPr>
              <w:t>30</w:t>
            </w:r>
          </w:p>
        </w:tc>
        <w:tc>
          <w:tcPr>
            <w:tcW w:w="1251" w:type="dxa"/>
            <w:tcBorders>
              <w:top w:val="nil"/>
              <w:left w:val="nil"/>
              <w:bottom w:val="nil"/>
              <w:right w:val="nil"/>
            </w:tcBorders>
          </w:tcPr>
          <w:p w:rsidR="00FE0200" w:rsidRPr="00BD123D" w:rsidRDefault="00FE0200" w:rsidP="003C352E">
            <w:pPr>
              <w:pStyle w:val="Default"/>
              <w:spacing w:after="40"/>
              <w:jc w:val="center"/>
              <w:rPr>
                <w:sz w:val="20"/>
                <w:szCs w:val="18"/>
              </w:rPr>
            </w:pPr>
            <w:r w:rsidRPr="00BD123D">
              <w:rPr>
                <w:sz w:val="20"/>
                <w:szCs w:val="18"/>
              </w:rPr>
              <w:t xml:space="preserve">ND </w:t>
            </w:r>
          </w:p>
        </w:tc>
        <w:tc>
          <w:tcPr>
            <w:tcW w:w="1251" w:type="dxa"/>
            <w:tcBorders>
              <w:top w:val="nil"/>
              <w:left w:val="nil"/>
              <w:bottom w:val="nil"/>
              <w:right w:val="nil"/>
            </w:tcBorders>
          </w:tcPr>
          <w:p w:rsidR="00FE0200" w:rsidRPr="00BD123D" w:rsidRDefault="00FE0200" w:rsidP="003C352E">
            <w:pPr>
              <w:pStyle w:val="Default"/>
              <w:spacing w:after="40"/>
              <w:jc w:val="center"/>
              <w:rPr>
                <w:sz w:val="20"/>
                <w:szCs w:val="18"/>
              </w:rPr>
            </w:pPr>
            <w:r w:rsidRPr="00BD123D">
              <w:rPr>
                <w:sz w:val="20"/>
                <w:szCs w:val="18"/>
              </w:rPr>
              <w:t xml:space="preserve">ND </w:t>
            </w:r>
          </w:p>
        </w:tc>
        <w:tc>
          <w:tcPr>
            <w:tcW w:w="1256" w:type="dxa"/>
            <w:tcBorders>
              <w:top w:val="nil"/>
              <w:left w:val="nil"/>
              <w:bottom w:val="nil"/>
              <w:right w:val="nil"/>
            </w:tcBorders>
          </w:tcPr>
          <w:p w:rsidR="00FE0200" w:rsidRPr="00BD123D" w:rsidRDefault="00FE0200" w:rsidP="003C352E">
            <w:pPr>
              <w:pStyle w:val="Default"/>
              <w:spacing w:after="40"/>
              <w:jc w:val="center"/>
              <w:rPr>
                <w:sz w:val="20"/>
                <w:szCs w:val="18"/>
              </w:rPr>
            </w:pPr>
            <w:r w:rsidRPr="00BD123D">
              <w:rPr>
                <w:sz w:val="20"/>
                <w:szCs w:val="18"/>
              </w:rPr>
              <w:t xml:space="preserve">ND </w:t>
            </w:r>
          </w:p>
        </w:tc>
      </w:tr>
      <w:tr w:rsidR="00FE0200" w:rsidTr="003C352E">
        <w:trPr>
          <w:trHeight w:val="118"/>
        </w:trPr>
        <w:tc>
          <w:tcPr>
            <w:tcW w:w="3168" w:type="dxa"/>
            <w:tcBorders>
              <w:top w:val="nil"/>
              <w:left w:val="nil"/>
              <w:bottom w:val="nil"/>
              <w:right w:val="nil"/>
            </w:tcBorders>
          </w:tcPr>
          <w:p w:rsidR="00FE0200" w:rsidRPr="00BD123D" w:rsidRDefault="00FE0200" w:rsidP="003C352E">
            <w:pPr>
              <w:pStyle w:val="Default"/>
              <w:spacing w:after="40"/>
              <w:jc w:val="center"/>
              <w:rPr>
                <w:sz w:val="20"/>
                <w:szCs w:val="18"/>
              </w:rPr>
            </w:pPr>
            <w:r w:rsidRPr="00BD123D">
              <w:rPr>
                <w:sz w:val="20"/>
                <w:szCs w:val="18"/>
              </w:rPr>
              <w:t xml:space="preserve">10 </w:t>
            </w:r>
          </w:p>
        </w:tc>
        <w:tc>
          <w:tcPr>
            <w:tcW w:w="1251" w:type="dxa"/>
            <w:tcBorders>
              <w:top w:val="nil"/>
              <w:left w:val="nil"/>
              <w:bottom w:val="nil"/>
              <w:right w:val="nil"/>
            </w:tcBorders>
            <w:vAlign w:val="bottom"/>
          </w:tcPr>
          <w:p w:rsidR="00FE0200" w:rsidRPr="00BD123D" w:rsidRDefault="00FE0200" w:rsidP="003C352E">
            <w:pPr>
              <w:jc w:val="center"/>
              <w:rPr>
                <w:sz w:val="20"/>
              </w:rPr>
            </w:pPr>
            <w:r w:rsidRPr="00BD123D">
              <w:rPr>
                <w:sz w:val="20"/>
              </w:rPr>
              <w:t>8</w:t>
            </w:r>
          </w:p>
        </w:tc>
        <w:tc>
          <w:tcPr>
            <w:tcW w:w="1251" w:type="dxa"/>
            <w:tcBorders>
              <w:top w:val="nil"/>
              <w:left w:val="nil"/>
              <w:bottom w:val="nil"/>
              <w:right w:val="nil"/>
            </w:tcBorders>
            <w:vAlign w:val="bottom"/>
          </w:tcPr>
          <w:p w:rsidR="00FE0200" w:rsidRPr="00BD123D" w:rsidRDefault="00FE0200" w:rsidP="003C352E">
            <w:pPr>
              <w:jc w:val="center"/>
              <w:rPr>
                <w:sz w:val="20"/>
              </w:rPr>
            </w:pPr>
            <w:r w:rsidRPr="00BD123D">
              <w:rPr>
                <w:sz w:val="20"/>
              </w:rPr>
              <w:t>6</w:t>
            </w:r>
          </w:p>
        </w:tc>
        <w:tc>
          <w:tcPr>
            <w:tcW w:w="1251" w:type="dxa"/>
            <w:tcBorders>
              <w:top w:val="nil"/>
              <w:left w:val="nil"/>
              <w:bottom w:val="nil"/>
              <w:right w:val="nil"/>
            </w:tcBorders>
          </w:tcPr>
          <w:p w:rsidR="00FE0200" w:rsidRPr="00BD123D" w:rsidRDefault="00FE0200" w:rsidP="003C352E">
            <w:pPr>
              <w:pStyle w:val="Default"/>
              <w:spacing w:after="40"/>
              <w:jc w:val="center"/>
              <w:rPr>
                <w:sz w:val="20"/>
                <w:szCs w:val="18"/>
              </w:rPr>
            </w:pPr>
            <w:r w:rsidRPr="00BD123D">
              <w:rPr>
                <w:sz w:val="20"/>
                <w:szCs w:val="18"/>
              </w:rPr>
              <w:t xml:space="preserve">ND </w:t>
            </w:r>
          </w:p>
        </w:tc>
        <w:tc>
          <w:tcPr>
            <w:tcW w:w="1251" w:type="dxa"/>
            <w:tcBorders>
              <w:top w:val="nil"/>
              <w:left w:val="nil"/>
              <w:bottom w:val="nil"/>
              <w:right w:val="nil"/>
            </w:tcBorders>
          </w:tcPr>
          <w:p w:rsidR="00FE0200" w:rsidRPr="00BD123D" w:rsidRDefault="00FE0200" w:rsidP="003C352E">
            <w:pPr>
              <w:pStyle w:val="Default"/>
              <w:spacing w:after="40"/>
              <w:jc w:val="center"/>
              <w:rPr>
                <w:sz w:val="20"/>
                <w:szCs w:val="18"/>
              </w:rPr>
            </w:pPr>
            <w:r w:rsidRPr="00BD123D">
              <w:rPr>
                <w:sz w:val="20"/>
                <w:szCs w:val="18"/>
              </w:rPr>
              <w:t xml:space="preserve">ND </w:t>
            </w:r>
          </w:p>
        </w:tc>
        <w:tc>
          <w:tcPr>
            <w:tcW w:w="1256" w:type="dxa"/>
            <w:tcBorders>
              <w:top w:val="nil"/>
              <w:left w:val="nil"/>
              <w:bottom w:val="nil"/>
              <w:right w:val="nil"/>
            </w:tcBorders>
          </w:tcPr>
          <w:p w:rsidR="00FE0200" w:rsidRPr="00BD123D" w:rsidRDefault="00FE0200" w:rsidP="003C352E">
            <w:pPr>
              <w:pStyle w:val="Default"/>
              <w:spacing w:after="40"/>
              <w:jc w:val="center"/>
              <w:rPr>
                <w:sz w:val="20"/>
                <w:szCs w:val="18"/>
              </w:rPr>
            </w:pPr>
            <w:r w:rsidRPr="00BD123D">
              <w:rPr>
                <w:sz w:val="20"/>
                <w:szCs w:val="18"/>
              </w:rPr>
              <w:t xml:space="preserve">ND </w:t>
            </w:r>
          </w:p>
        </w:tc>
      </w:tr>
      <w:tr w:rsidR="00FE0200" w:rsidTr="003C352E">
        <w:trPr>
          <w:trHeight w:val="118"/>
        </w:trPr>
        <w:tc>
          <w:tcPr>
            <w:tcW w:w="3168" w:type="dxa"/>
            <w:tcBorders>
              <w:top w:val="nil"/>
              <w:left w:val="nil"/>
              <w:bottom w:val="nil"/>
              <w:right w:val="nil"/>
            </w:tcBorders>
          </w:tcPr>
          <w:p w:rsidR="00FE0200" w:rsidRPr="00BD123D" w:rsidRDefault="00FE0200" w:rsidP="003C352E">
            <w:pPr>
              <w:pStyle w:val="Default"/>
              <w:spacing w:after="40"/>
              <w:jc w:val="center"/>
              <w:rPr>
                <w:sz w:val="20"/>
                <w:szCs w:val="18"/>
              </w:rPr>
            </w:pPr>
            <w:r w:rsidRPr="00BD123D">
              <w:rPr>
                <w:sz w:val="20"/>
                <w:szCs w:val="18"/>
              </w:rPr>
              <w:t xml:space="preserve">12 </w:t>
            </w:r>
          </w:p>
        </w:tc>
        <w:tc>
          <w:tcPr>
            <w:tcW w:w="1251" w:type="dxa"/>
            <w:tcBorders>
              <w:top w:val="nil"/>
              <w:left w:val="nil"/>
              <w:bottom w:val="nil"/>
              <w:right w:val="nil"/>
            </w:tcBorders>
            <w:vAlign w:val="bottom"/>
          </w:tcPr>
          <w:p w:rsidR="00FE0200" w:rsidRPr="00BD123D" w:rsidRDefault="00FE0200" w:rsidP="003C352E">
            <w:pPr>
              <w:jc w:val="center"/>
              <w:rPr>
                <w:sz w:val="20"/>
              </w:rPr>
            </w:pPr>
            <w:r w:rsidRPr="00BD123D">
              <w:rPr>
                <w:sz w:val="20"/>
              </w:rPr>
              <w:t>28</w:t>
            </w:r>
          </w:p>
        </w:tc>
        <w:tc>
          <w:tcPr>
            <w:tcW w:w="1251" w:type="dxa"/>
            <w:tcBorders>
              <w:top w:val="nil"/>
              <w:left w:val="nil"/>
              <w:bottom w:val="nil"/>
              <w:right w:val="nil"/>
            </w:tcBorders>
            <w:vAlign w:val="bottom"/>
          </w:tcPr>
          <w:p w:rsidR="00FE0200" w:rsidRPr="00BD123D" w:rsidRDefault="00FE0200" w:rsidP="003C352E">
            <w:pPr>
              <w:jc w:val="center"/>
              <w:rPr>
                <w:sz w:val="20"/>
              </w:rPr>
            </w:pPr>
            <w:r w:rsidRPr="00BD123D">
              <w:rPr>
                <w:sz w:val="20"/>
              </w:rPr>
              <w:t>15</w:t>
            </w:r>
          </w:p>
        </w:tc>
        <w:tc>
          <w:tcPr>
            <w:tcW w:w="1251" w:type="dxa"/>
            <w:tcBorders>
              <w:top w:val="nil"/>
              <w:left w:val="nil"/>
              <w:bottom w:val="nil"/>
              <w:right w:val="nil"/>
            </w:tcBorders>
          </w:tcPr>
          <w:p w:rsidR="00FE0200" w:rsidRPr="00BD123D" w:rsidRDefault="00FE0200" w:rsidP="003C352E">
            <w:pPr>
              <w:pStyle w:val="Default"/>
              <w:spacing w:after="40"/>
              <w:jc w:val="center"/>
              <w:rPr>
                <w:sz w:val="20"/>
                <w:szCs w:val="18"/>
              </w:rPr>
            </w:pPr>
            <w:r w:rsidRPr="00BD123D">
              <w:rPr>
                <w:sz w:val="20"/>
                <w:szCs w:val="18"/>
              </w:rPr>
              <w:t xml:space="preserve">ND </w:t>
            </w:r>
          </w:p>
        </w:tc>
        <w:tc>
          <w:tcPr>
            <w:tcW w:w="1251" w:type="dxa"/>
            <w:tcBorders>
              <w:top w:val="nil"/>
              <w:left w:val="nil"/>
              <w:bottom w:val="nil"/>
              <w:right w:val="nil"/>
            </w:tcBorders>
          </w:tcPr>
          <w:p w:rsidR="00FE0200" w:rsidRPr="00BD123D" w:rsidRDefault="00FE0200" w:rsidP="003C352E">
            <w:pPr>
              <w:pStyle w:val="Default"/>
              <w:spacing w:after="40"/>
              <w:jc w:val="center"/>
              <w:rPr>
                <w:sz w:val="20"/>
                <w:szCs w:val="18"/>
              </w:rPr>
            </w:pPr>
            <w:r w:rsidRPr="00BD123D">
              <w:rPr>
                <w:sz w:val="20"/>
                <w:szCs w:val="18"/>
              </w:rPr>
              <w:t xml:space="preserve">ND </w:t>
            </w:r>
          </w:p>
        </w:tc>
        <w:tc>
          <w:tcPr>
            <w:tcW w:w="1256" w:type="dxa"/>
            <w:tcBorders>
              <w:top w:val="nil"/>
              <w:left w:val="nil"/>
              <w:bottom w:val="nil"/>
              <w:right w:val="nil"/>
            </w:tcBorders>
          </w:tcPr>
          <w:p w:rsidR="00FE0200" w:rsidRPr="00BD123D" w:rsidRDefault="00FE0200" w:rsidP="003C352E">
            <w:pPr>
              <w:pStyle w:val="Default"/>
              <w:spacing w:after="40"/>
              <w:jc w:val="center"/>
              <w:rPr>
                <w:sz w:val="20"/>
                <w:szCs w:val="18"/>
              </w:rPr>
            </w:pPr>
            <w:r w:rsidRPr="00BD123D">
              <w:rPr>
                <w:sz w:val="20"/>
                <w:szCs w:val="18"/>
              </w:rPr>
              <w:t xml:space="preserve">ND </w:t>
            </w:r>
          </w:p>
        </w:tc>
      </w:tr>
      <w:tr w:rsidR="00FE0200" w:rsidTr="003C352E">
        <w:trPr>
          <w:trHeight w:val="118"/>
        </w:trPr>
        <w:tc>
          <w:tcPr>
            <w:tcW w:w="3168" w:type="dxa"/>
            <w:tcBorders>
              <w:top w:val="nil"/>
              <w:left w:val="nil"/>
              <w:bottom w:val="nil"/>
              <w:right w:val="nil"/>
            </w:tcBorders>
          </w:tcPr>
          <w:p w:rsidR="00FE0200" w:rsidRPr="00BD123D" w:rsidRDefault="00FE0200" w:rsidP="003C352E">
            <w:pPr>
              <w:pStyle w:val="Default"/>
              <w:spacing w:after="40"/>
              <w:jc w:val="center"/>
              <w:rPr>
                <w:sz w:val="20"/>
                <w:szCs w:val="18"/>
              </w:rPr>
            </w:pPr>
            <w:r>
              <w:rPr>
                <w:sz w:val="20"/>
                <w:szCs w:val="18"/>
              </w:rPr>
              <w:t>Calculated AUC 0-12 hours (</w:t>
            </w:r>
            <w:proofErr w:type="spellStart"/>
            <w:r>
              <w:rPr>
                <w:sz w:val="20"/>
                <w:szCs w:val="18"/>
              </w:rPr>
              <w:t>ng</w:t>
            </w:r>
            <w:proofErr w:type="spellEnd"/>
            <w:r>
              <w:rPr>
                <w:sz w:val="20"/>
                <w:szCs w:val="18"/>
              </w:rPr>
              <w:t xml:space="preserve">-hr/ml), assuming imputed values of 3.1 </w:t>
            </w:r>
            <w:proofErr w:type="spellStart"/>
            <w:r>
              <w:rPr>
                <w:sz w:val="20"/>
                <w:szCs w:val="18"/>
              </w:rPr>
              <w:t>ng</w:t>
            </w:r>
            <w:proofErr w:type="spellEnd"/>
            <w:r>
              <w:rPr>
                <w:sz w:val="20"/>
                <w:szCs w:val="18"/>
              </w:rPr>
              <w:t>/ml for the ND values</w:t>
            </w:r>
          </w:p>
        </w:tc>
        <w:tc>
          <w:tcPr>
            <w:tcW w:w="1251" w:type="dxa"/>
            <w:tcBorders>
              <w:top w:val="nil"/>
              <w:left w:val="nil"/>
              <w:bottom w:val="nil"/>
              <w:right w:val="nil"/>
            </w:tcBorders>
            <w:vAlign w:val="bottom"/>
          </w:tcPr>
          <w:p w:rsidR="00FE0200" w:rsidRPr="00BD123D" w:rsidRDefault="00FE0200" w:rsidP="003C352E">
            <w:pPr>
              <w:jc w:val="center"/>
              <w:rPr>
                <w:sz w:val="20"/>
              </w:rPr>
            </w:pPr>
            <w:r>
              <w:rPr>
                <w:rFonts w:ascii="Calibri" w:eastAsia="Times New Roman" w:hAnsi="Calibri" w:cs="Times New Roman"/>
                <w:color w:val="000000"/>
                <w:sz w:val="22"/>
                <w:szCs w:val="22"/>
              </w:rPr>
              <w:t>97.5</w:t>
            </w:r>
          </w:p>
        </w:tc>
        <w:tc>
          <w:tcPr>
            <w:tcW w:w="1251" w:type="dxa"/>
            <w:tcBorders>
              <w:top w:val="nil"/>
              <w:left w:val="nil"/>
              <w:bottom w:val="nil"/>
              <w:right w:val="nil"/>
            </w:tcBorders>
            <w:vAlign w:val="bottom"/>
          </w:tcPr>
          <w:p w:rsidR="00FE0200" w:rsidRPr="00BD123D" w:rsidRDefault="00FE0200" w:rsidP="003C352E">
            <w:pPr>
              <w:jc w:val="center"/>
              <w:rPr>
                <w:sz w:val="20"/>
              </w:rPr>
            </w:pPr>
            <w:r>
              <w:rPr>
                <w:rFonts w:ascii="Calibri" w:eastAsia="Times New Roman" w:hAnsi="Calibri" w:cs="Times New Roman"/>
                <w:color w:val="000000"/>
                <w:sz w:val="22"/>
                <w:szCs w:val="22"/>
              </w:rPr>
              <w:t>162.1</w:t>
            </w:r>
          </w:p>
        </w:tc>
        <w:tc>
          <w:tcPr>
            <w:tcW w:w="1251" w:type="dxa"/>
            <w:tcBorders>
              <w:top w:val="nil"/>
              <w:left w:val="nil"/>
              <w:bottom w:val="nil"/>
              <w:right w:val="nil"/>
            </w:tcBorders>
            <w:vAlign w:val="bottom"/>
          </w:tcPr>
          <w:p w:rsidR="00FE0200" w:rsidRPr="00BD123D" w:rsidRDefault="00FE0200" w:rsidP="003C352E">
            <w:pPr>
              <w:pStyle w:val="Default"/>
              <w:spacing w:after="40"/>
              <w:jc w:val="center"/>
              <w:rPr>
                <w:sz w:val="20"/>
                <w:szCs w:val="18"/>
              </w:rPr>
            </w:pPr>
            <w:r>
              <w:rPr>
                <w:rFonts w:ascii="Calibri" w:hAnsi="Calibri"/>
                <w:sz w:val="22"/>
                <w:szCs w:val="22"/>
              </w:rPr>
              <w:t>123.5</w:t>
            </w:r>
          </w:p>
        </w:tc>
        <w:tc>
          <w:tcPr>
            <w:tcW w:w="1251" w:type="dxa"/>
            <w:tcBorders>
              <w:top w:val="nil"/>
              <w:left w:val="nil"/>
              <w:bottom w:val="nil"/>
              <w:right w:val="nil"/>
            </w:tcBorders>
            <w:vAlign w:val="bottom"/>
          </w:tcPr>
          <w:p w:rsidR="00FE0200" w:rsidRPr="00BD123D" w:rsidRDefault="00FE0200" w:rsidP="003C352E">
            <w:pPr>
              <w:pStyle w:val="Default"/>
              <w:spacing w:after="40"/>
              <w:jc w:val="center"/>
              <w:rPr>
                <w:sz w:val="20"/>
                <w:szCs w:val="18"/>
              </w:rPr>
            </w:pPr>
            <w:r>
              <w:rPr>
                <w:rFonts w:ascii="Calibri" w:hAnsi="Calibri"/>
                <w:sz w:val="22"/>
                <w:szCs w:val="22"/>
              </w:rPr>
              <w:t>70.5</w:t>
            </w:r>
          </w:p>
        </w:tc>
        <w:tc>
          <w:tcPr>
            <w:tcW w:w="1256" w:type="dxa"/>
            <w:tcBorders>
              <w:top w:val="nil"/>
              <w:left w:val="nil"/>
              <w:bottom w:val="nil"/>
              <w:right w:val="nil"/>
            </w:tcBorders>
            <w:vAlign w:val="bottom"/>
          </w:tcPr>
          <w:p w:rsidR="00FE0200" w:rsidRPr="00BD123D" w:rsidRDefault="00FE0200" w:rsidP="003C352E">
            <w:pPr>
              <w:pStyle w:val="Default"/>
              <w:spacing w:after="40"/>
              <w:jc w:val="center"/>
              <w:rPr>
                <w:sz w:val="20"/>
                <w:szCs w:val="18"/>
              </w:rPr>
            </w:pPr>
            <w:r>
              <w:rPr>
                <w:rFonts w:ascii="Calibri" w:hAnsi="Calibri"/>
                <w:sz w:val="22"/>
                <w:szCs w:val="22"/>
              </w:rPr>
              <w:t>105.5</w:t>
            </w:r>
          </w:p>
        </w:tc>
      </w:tr>
      <w:tr w:rsidR="00FE0200" w:rsidTr="003C352E">
        <w:trPr>
          <w:trHeight w:val="118"/>
        </w:trPr>
        <w:tc>
          <w:tcPr>
            <w:tcW w:w="3168" w:type="dxa"/>
            <w:tcBorders>
              <w:top w:val="nil"/>
              <w:left w:val="nil"/>
              <w:bottom w:val="nil"/>
              <w:right w:val="nil"/>
            </w:tcBorders>
          </w:tcPr>
          <w:p w:rsidR="00FE0200" w:rsidRPr="00BD123D" w:rsidRDefault="00FE0200" w:rsidP="003C352E">
            <w:pPr>
              <w:pStyle w:val="Default"/>
              <w:spacing w:after="40"/>
              <w:jc w:val="center"/>
              <w:rPr>
                <w:sz w:val="20"/>
                <w:szCs w:val="18"/>
              </w:rPr>
            </w:pPr>
            <w:r>
              <w:rPr>
                <w:sz w:val="20"/>
                <w:szCs w:val="18"/>
              </w:rPr>
              <w:t>Calculated AUC 0-12 hours (</w:t>
            </w:r>
            <w:proofErr w:type="spellStart"/>
            <w:r>
              <w:rPr>
                <w:sz w:val="20"/>
                <w:szCs w:val="18"/>
              </w:rPr>
              <w:t>ng</w:t>
            </w:r>
            <w:proofErr w:type="spellEnd"/>
            <w:r>
              <w:rPr>
                <w:sz w:val="20"/>
                <w:szCs w:val="18"/>
              </w:rPr>
              <w:t>-hr/ml assuming 0 for the ND values</w:t>
            </w:r>
          </w:p>
        </w:tc>
        <w:tc>
          <w:tcPr>
            <w:tcW w:w="1251" w:type="dxa"/>
            <w:tcBorders>
              <w:top w:val="nil"/>
              <w:left w:val="nil"/>
              <w:bottom w:val="nil"/>
              <w:right w:val="nil"/>
            </w:tcBorders>
            <w:vAlign w:val="bottom"/>
          </w:tcPr>
          <w:p w:rsidR="00FE0200" w:rsidRPr="00BD123D" w:rsidRDefault="00FE0200" w:rsidP="003C352E">
            <w:pPr>
              <w:jc w:val="center"/>
              <w:rPr>
                <w:sz w:val="20"/>
              </w:rPr>
            </w:pPr>
            <w:r>
              <w:rPr>
                <w:rFonts w:ascii="Calibri" w:eastAsia="Times New Roman" w:hAnsi="Calibri" w:cs="Times New Roman"/>
                <w:color w:val="000000"/>
                <w:sz w:val="22"/>
                <w:szCs w:val="22"/>
              </w:rPr>
              <w:t>82.0</w:t>
            </w:r>
          </w:p>
        </w:tc>
        <w:tc>
          <w:tcPr>
            <w:tcW w:w="1251" w:type="dxa"/>
            <w:tcBorders>
              <w:top w:val="nil"/>
              <w:left w:val="nil"/>
              <w:bottom w:val="nil"/>
              <w:right w:val="nil"/>
            </w:tcBorders>
            <w:vAlign w:val="bottom"/>
          </w:tcPr>
          <w:p w:rsidR="00FE0200" w:rsidRPr="00BD123D" w:rsidRDefault="00FE0200" w:rsidP="003C352E">
            <w:pPr>
              <w:jc w:val="center"/>
              <w:rPr>
                <w:sz w:val="20"/>
              </w:rPr>
            </w:pPr>
            <w:r>
              <w:rPr>
                <w:rFonts w:ascii="Calibri" w:eastAsia="Times New Roman" w:hAnsi="Calibri" w:cs="Times New Roman"/>
                <w:color w:val="000000"/>
                <w:sz w:val="22"/>
                <w:szCs w:val="22"/>
              </w:rPr>
              <w:t>157.5</w:t>
            </w:r>
          </w:p>
        </w:tc>
        <w:tc>
          <w:tcPr>
            <w:tcW w:w="1251" w:type="dxa"/>
            <w:tcBorders>
              <w:top w:val="nil"/>
              <w:left w:val="nil"/>
              <w:bottom w:val="nil"/>
              <w:right w:val="nil"/>
            </w:tcBorders>
            <w:vAlign w:val="bottom"/>
          </w:tcPr>
          <w:p w:rsidR="00FE0200" w:rsidRPr="00BD123D" w:rsidRDefault="00FE0200" w:rsidP="003C352E">
            <w:pPr>
              <w:pStyle w:val="Default"/>
              <w:spacing w:after="40"/>
              <w:jc w:val="center"/>
              <w:rPr>
                <w:sz w:val="20"/>
                <w:szCs w:val="18"/>
              </w:rPr>
            </w:pPr>
            <w:r>
              <w:rPr>
                <w:rFonts w:ascii="Calibri" w:hAnsi="Calibri"/>
                <w:sz w:val="22"/>
                <w:szCs w:val="22"/>
              </w:rPr>
              <w:t>106.5</w:t>
            </w:r>
          </w:p>
        </w:tc>
        <w:tc>
          <w:tcPr>
            <w:tcW w:w="1251" w:type="dxa"/>
            <w:tcBorders>
              <w:top w:val="nil"/>
              <w:left w:val="nil"/>
              <w:bottom w:val="nil"/>
              <w:right w:val="nil"/>
            </w:tcBorders>
            <w:vAlign w:val="bottom"/>
          </w:tcPr>
          <w:p w:rsidR="00FE0200" w:rsidRPr="00BD123D" w:rsidRDefault="00FE0200" w:rsidP="003C352E">
            <w:pPr>
              <w:pStyle w:val="Default"/>
              <w:spacing w:after="40"/>
              <w:jc w:val="center"/>
              <w:rPr>
                <w:sz w:val="20"/>
                <w:szCs w:val="18"/>
              </w:rPr>
            </w:pPr>
            <w:r>
              <w:rPr>
                <w:rFonts w:ascii="Calibri" w:hAnsi="Calibri"/>
                <w:sz w:val="22"/>
                <w:szCs w:val="22"/>
              </w:rPr>
              <w:t>53.5</w:t>
            </w:r>
          </w:p>
        </w:tc>
        <w:tc>
          <w:tcPr>
            <w:tcW w:w="1256" w:type="dxa"/>
            <w:tcBorders>
              <w:top w:val="nil"/>
              <w:left w:val="nil"/>
              <w:bottom w:val="nil"/>
              <w:right w:val="nil"/>
            </w:tcBorders>
            <w:vAlign w:val="bottom"/>
          </w:tcPr>
          <w:p w:rsidR="00FE0200" w:rsidRPr="00BD123D" w:rsidRDefault="00FE0200" w:rsidP="003C352E">
            <w:pPr>
              <w:pStyle w:val="Default"/>
              <w:spacing w:after="40"/>
              <w:jc w:val="center"/>
              <w:rPr>
                <w:sz w:val="20"/>
                <w:szCs w:val="18"/>
              </w:rPr>
            </w:pPr>
            <w:r>
              <w:rPr>
                <w:rFonts w:ascii="Calibri" w:hAnsi="Calibri"/>
                <w:sz w:val="22"/>
                <w:szCs w:val="22"/>
              </w:rPr>
              <w:t>90.0</w:t>
            </w:r>
          </w:p>
        </w:tc>
      </w:tr>
      <w:tr w:rsidR="00FE0200" w:rsidTr="003C352E">
        <w:trPr>
          <w:trHeight w:val="118"/>
        </w:trPr>
        <w:tc>
          <w:tcPr>
            <w:tcW w:w="3168" w:type="dxa"/>
            <w:tcBorders>
              <w:top w:val="nil"/>
              <w:left w:val="nil"/>
              <w:bottom w:val="nil"/>
              <w:right w:val="nil"/>
            </w:tcBorders>
          </w:tcPr>
          <w:p w:rsidR="00FE0200" w:rsidRPr="00BD123D" w:rsidRDefault="00FE0200" w:rsidP="003C352E">
            <w:pPr>
              <w:pStyle w:val="Default"/>
              <w:spacing w:after="40"/>
              <w:jc w:val="center"/>
              <w:rPr>
                <w:sz w:val="20"/>
                <w:szCs w:val="18"/>
              </w:rPr>
            </w:pPr>
          </w:p>
        </w:tc>
        <w:tc>
          <w:tcPr>
            <w:tcW w:w="1251" w:type="dxa"/>
            <w:tcBorders>
              <w:top w:val="nil"/>
              <w:left w:val="nil"/>
              <w:bottom w:val="nil"/>
              <w:right w:val="nil"/>
            </w:tcBorders>
            <w:vAlign w:val="bottom"/>
          </w:tcPr>
          <w:p w:rsidR="00FE0200" w:rsidRPr="00BD123D" w:rsidRDefault="00FE0200" w:rsidP="003C352E">
            <w:pPr>
              <w:jc w:val="center"/>
              <w:rPr>
                <w:sz w:val="20"/>
              </w:rPr>
            </w:pPr>
          </w:p>
        </w:tc>
        <w:tc>
          <w:tcPr>
            <w:tcW w:w="1251" w:type="dxa"/>
            <w:tcBorders>
              <w:top w:val="nil"/>
              <w:left w:val="nil"/>
              <w:bottom w:val="nil"/>
              <w:right w:val="nil"/>
            </w:tcBorders>
            <w:vAlign w:val="bottom"/>
          </w:tcPr>
          <w:p w:rsidR="00FE0200" w:rsidRPr="00BD123D" w:rsidRDefault="00FE0200" w:rsidP="003C352E">
            <w:pPr>
              <w:jc w:val="center"/>
              <w:rPr>
                <w:sz w:val="20"/>
              </w:rPr>
            </w:pPr>
          </w:p>
        </w:tc>
        <w:tc>
          <w:tcPr>
            <w:tcW w:w="1251" w:type="dxa"/>
            <w:tcBorders>
              <w:top w:val="nil"/>
              <w:left w:val="nil"/>
              <w:bottom w:val="nil"/>
              <w:right w:val="nil"/>
            </w:tcBorders>
          </w:tcPr>
          <w:p w:rsidR="00FE0200" w:rsidRPr="00BD123D" w:rsidRDefault="00FE0200" w:rsidP="003C352E">
            <w:pPr>
              <w:pStyle w:val="Default"/>
              <w:spacing w:after="40"/>
              <w:jc w:val="center"/>
              <w:rPr>
                <w:sz w:val="20"/>
                <w:szCs w:val="18"/>
              </w:rPr>
            </w:pPr>
          </w:p>
        </w:tc>
        <w:tc>
          <w:tcPr>
            <w:tcW w:w="1251" w:type="dxa"/>
            <w:tcBorders>
              <w:top w:val="nil"/>
              <w:left w:val="nil"/>
              <w:bottom w:val="nil"/>
              <w:right w:val="nil"/>
            </w:tcBorders>
          </w:tcPr>
          <w:p w:rsidR="00FE0200" w:rsidRPr="00BD123D" w:rsidRDefault="00FE0200" w:rsidP="003C352E">
            <w:pPr>
              <w:pStyle w:val="Default"/>
              <w:spacing w:after="40"/>
              <w:jc w:val="center"/>
              <w:rPr>
                <w:sz w:val="20"/>
                <w:szCs w:val="18"/>
              </w:rPr>
            </w:pPr>
          </w:p>
        </w:tc>
        <w:tc>
          <w:tcPr>
            <w:tcW w:w="1256" w:type="dxa"/>
            <w:tcBorders>
              <w:top w:val="nil"/>
              <w:left w:val="nil"/>
              <w:bottom w:val="nil"/>
              <w:right w:val="nil"/>
            </w:tcBorders>
          </w:tcPr>
          <w:p w:rsidR="00FE0200" w:rsidRPr="00BD123D" w:rsidRDefault="00FE0200" w:rsidP="003C352E">
            <w:pPr>
              <w:pStyle w:val="Default"/>
              <w:spacing w:after="40"/>
              <w:jc w:val="center"/>
              <w:rPr>
                <w:sz w:val="20"/>
                <w:szCs w:val="18"/>
              </w:rPr>
            </w:pPr>
          </w:p>
        </w:tc>
      </w:tr>
    </w:tbl>
    <w:p w:rsidR="00FE0200" w:rsidRDefault="00FE0200" w:rsidP="00FE0200">
      <w:proofErr w:type="gramStart"/>
      <w:r>
        <w:rPr>
          <w:szCs w:val="18"/>
          <w:vertAlign w:val="superscript"/>
        </w:rPr>
        <w:t>a</w:t>
      </w:r>
      <w:proofErr w:type="gramEnd"/>
      <w:r>
        <w:t xml:space="preserve"> ND = Not Detected—limit of detection was reportedly 5 </w:t>
      </w:r>
      <w:proofErr w:type="spellStart"/>
      <w:r>
        <w:t>ng</w:t>
      </w:r>
      <w:proofErr w:type="spellEnd"/>
      <w:r>
        <w:t>/ml.</w:t>
      </w:r>
    </w:p>
    <w:p w:rsidR="00FE0200" w:rsidRDefault="00FE0200" w:rsidP="00FE0200">
      <w:r w:rsidRPr="00592649">
        <w:t xml:space="preserve">Source: </w:t>
      </w:r>
      <w:r>
        <w:t>EPA summary (Anonymous, 2008) of data of Nolan (1982) reported in MRID 00124144.</w:t>
      </w:r>
      <w:r w:rsidRPr="00562914">
        <w:t xml:space="preserve"> </w:t>
      </w:r>
      <w:r w:rsidR="004375A8">
        <w:fldChar w:fldCharType="begin"/>
      </w:r>
      <w:r w:rsidR="002B6D02">
        <w:instrText xml:space="preserve"> ADDIN EN.CITE &lt;EndNote&gt;&lt;Cite&gt;&lt;Author&gt;Anonymous&lt;/Author&gt;&lt;Year&gt;2008&lt;/Year&gt;&lt;RecNum&gt;210&lt;/RecNum&gt;&lt;DisplayText&gt;&lt;style face="superscript"&gt;(20)&lt;/style&gt;&lt;/DisplayText&gt;&lt;record&gt;&lt;rec-number&gt;210&lt;/rec-number&gt;&lt;foreign-keys&gt;&lt;key app="EN" db-id="xftvffafmwpe0fedf055pwp7ts95t0ta0v0a"&gt;210&lt;/key&gt;&lt;/foreign-keys&gt;&lt;ref-type name="Journal Article"&gt;17&lt;/ref-type&gt;&lt;contributors&gt;&lt;authors&gt;&lt;author&gt;Anonymous&lt;/author&gt;&lt;/authors&gt;&lt;/contributors&gt;&lt;titles&gt;&lt;title&gt;EPA Summary of MRID 00124144 Nolan. R. J.; Freshner, N.L.; et al. (1982) Chlorpyrifos: Pharmacokinetics in Human Volunteers Following Single Oral and Dermal Doses Toxicology and Applied Pharmacology. 73, 8-15 (1984).&lt;/title&gt;&lt;secondary-title&gt;EPA Hearing Docket #EPA-HQ-OPP-2008-0274-0012.2.pdf&lt;/secondary-title&gt;&lt;/titles&gt;&lt;periodical&gt;&lt;full-title&gt;EPA Hearing Docket #EPA-HQ-OPP-2008-0274-0012.2.pdf&lt;/full-title&gt;&lt;/periodical&gt;&lt;dates&gt;&lt;year&gt;2008&lt;/year&gt;&lt;/dates&gt;&lt;urls&gt;&lt;/urls&gt;&lt;/record&gt;&lt;/Cite&gt;&lt;/EndNote&gt;</w:instrText>
      </w:r>
      <w:r w:rsidR="004375A8">
        <w:fldChar w:fldCharType="separate"/>
      </w:r>
      <w:r w:rsidR="002B6D02" w:rsidRPr="002B6D02">
        <w:rPr>
          <w:noProof/>
          <w:vertAlign w:val="superscript"/>
        </w:rPr>
        <w:t>(</w:t>
      </w:r>
      <w:hyperlink w:anchor="_ENREF_20" w:tooltip="Anonymous, 2008 #210" w:history="1">
        <w:r w:rsidR="002B6D02" w:rsidRPr="002B6D02">
          <w:rPr>
            <w:noProof/>
            <w:vertAlign w:val="superscript"/>
          </w:rPr>
          <w:t>20</w:t>
        </w:r>
      </w:hyperlink>
      <w:r w:rsidR="002B6D02" w:rsidRPr="002B6D02">
        <w:rPr>
          <w:noProof/>
          <w:vertAlign w:val="superscript"/>
        </w:rPr>
        <w:t>)</w:t>
      </w:r>
      <w:r w:rsidR="004375A8">
        <w:fldChar w:fldCharType="end"/>
      </w:r>
    </w:p>
    <w:p w:rsidR="00FE0200" w:rsidRDefault="00FE0200" w:rsidP="00FE0200"/>
    <w:p w:rsidR="00FE0200" w:rsidRDefault="00FE0200" w:rsidP="00FE0200"/>
    <w:p w:rsidR="00FE0200" w:rsidRPr="00E4789C" w:rsidRDefault="00FE0200" w:rsidP="00FE0200">
      <w:r>
        <w:br w:type="page"/>
      </w:r>
    </w:p>
    <w:p w:rsidR="00FE0200" w:rsidRDefault="00635E94" w:rsidP="00FE0200">
      <w:pPr>
        <w:pStyle w:val="Body2"/>
      </w:pPr>
      <w:r>
        <w:lastRenderedPageBreak/>
        <w:t>For the first point, we use a set of nationally representative data from a later period</w:t>
      </w:r>
      <w:r w:rsidR="004375A8">
        <w:fldChar w:fldCharType="begin"/>
      </w:r>
      <w:r w:rsidR="002B6D02">
        <w:instrText xml:space="preserve"> ADDIN EN.CITE &lt;EndNote&gt;&lt;Cite&gt;&lt;Author&gt;Zhang&lt;/Author&gt;&lt;Year&gt;2011&lt;/Year&gt;&lt;RecNum&gt;236&lt;/RecNum&gt;&lt;DisplayText&gt;&lt;style face="superscript"&gt;(21)&lt;/style&gt;&lt;/DisplayText&gt;&lt;record&gt;&lt;rec-number&gt;236&lt;/rec-number&gt;&lt;foreign-keys&gt;&lt;key app="EN" db-id="xftvffafmwpe0fedf055pwp7ts95t0ta0v0a"&gt;236&lt;/key&gt;&lt;/foreign-keys&gt;&lt;ref-type name="Journal Article"&gt;17&lt;/ref-type&gt;&lt;contributors&gt;&lt;authors&gt;&lt;author&gt;Zhang, X.&lt;/author&gt;&lt;author&gt;Shen, Y.&lt;/author&gt;&lt;author&gt;Yu, X. Y.&lt;/author&gt;&lt;author&gt;Liu, X. J.&lt;/author&gt;&lt;/authors&gt;&lt;/contributors&gt;&lt;auth-address&gt;Department of Entomology, College of Plant Protection, Nanjing Agricultural University, Key laboratory of Monitoring and Management of Crop Diseases and Pest Insects, Ministry of Agriculture, Nanjing 210095, PR China; Key Laboratory of Food Quality and Safety Jiangsu Province, Key Laboratory of Food Safety Monitoring and Management of Ministry of Agriculture, Jiangsu Academy of Agricultural Science, Nanjing 210014, PR China.&lt;/auth-address&gt;&lt;titles&gt;&lt;title&gt;Dissipation of chlorpyrifos and residue analysis in rice, soil and water under paddy field conditions&lt;/title&gt;&lt;secondary-title&gt;Ecotoxicol Environ Saf&lt;/secondary-title&gt;&lt;/titles&gt;&lt;periodical&gt;&lt;full-title&gt;Ecotoxicol Environ Saf&lt;/full-title&gt;&lt;/periodical&gt;&lt;edition&gt;2011/12/27&lt;/edition&gt;&lt;dates&gt;&lt;year&gt;2011&lt;/year&gt;&lt;pub-dates&gt;&lt;date&gt;Dec 21&lt;/date&gt;&lt;/pub-dates&gt;&lt;/dates&gt;&lt;isbn&gt;1090-2414 (Electronic)&amp;#xD;0147-6513 (Linking)&lt;/isbn&gt;&lt;accession-num&gt;22195763&lt;/accession-num&gt;&lt;urls&gt;&lt;related-urls&gt;&lt;url&gt;http://www.ncbi.nlm.nih.gov/pubmed/22195763&lt;/url&gt;&lt;/related-urls&gt;&lt;/urls&gt;&lt;electronic-resource-num&gt;S0147-6513(11)00448-9 [pii]&amp;#xD;10.1016/j.ecoenv.2011.11.036&lt;/electronic-resource-num&gt;&lt;language&gt;Eng&lt;/language&gt;&lt;/record&gt;&lt;/Cite&gt;&lt;/EndNote&gt;</w:instrText>
      </w:r>
      <w:r w:rsidR="004375A8">
        <w:fldChar w:fldCharType="separate"/>
      </w:r>
      <w:r w:rsidR="002B6D02" w:rsidRPr="002B6D02">
        <w:rPr>
          <w:noProof/>
          <w:vertAlign w:val="superscript"/>
        </w:rPr>
        <w:t>(</w:t>
      </w:r>
      <w:hyperlink w:anchor="_ENREF_21" w:tooltip="Zhang, 2011 #236" w:history="1">
        <w:r w:rsidR="002B6D02" w:rsidRPr="002B6D02">
          <w:rPr>
            <w:noProof/>
            <w:vertAlign w:val="superscript"/>
          </w:rPr>
          <w:t>21</w:t>
        </w:r>
      </w:hyperlink>
      <w:r w:rsidR="002B6D02" w:rsidRPr="002B6D02">
        <w:rPr>
          <w:noProof/>
          <w:vertAlign w:val="superscript"/>
        </w:rPr>
        <w:t>)</w:t>
      </w:r>
      <w:r w:rsidR="004375A8">
        <w:fldChar w:fldCharType="end"/>
      </w:r>
      <w:r>
        <w:t xml:space="preserve">—900 men and women from the NHANES III study ages 20-59 in 1988-94.  From a lognormal fit to the </w:t>
      </w:r>
      <w:proofErr w:type="spellStart"/>
      <w:r>
        <w:t>creatinine</w:t>
      </w:r>
      <w:proofErr w:type="spellEnd"/>
      <w:r>
        <w:t xml:space="preserve">-corrected data, the geometric mean and geometric standard deviation for urinary excretion of </w:t>
      </w:r>
      <w:proofErr w:type="spellStart"/>
      <w:r>
        <w:t>TCPy</w:t>
      </w:r>
      <w:proofErr w:type="spellEnd"/>
      <w:r>
        <w:t xml:space="preserve"> in this group were 2.18 µg/gram of </w:t>
      </w:r>
      <w:proofErr w:type="spellStart"/>
      <w:r>
        <w:t>creatinine</w:t>
      </w:r>
      <w:proofErr w:type="spellEnd"/>
      <w:r>
        <w:t xml:space="preserve"> and 2.297 respectively (Figure </w:t>
      </w:r>
      <w:r w:rsidR="009947E3">
        <w:t>S</w:t>
      </w:r>
      <w:r>
        <w:t xml:space="preserve">2).  The arithmetic mean for this distribution is expected to be about 3.1 µg/gram of </w:t>
      </w:r>
      <w:proofErr w:type="spellStart"/>
      <w:r>
        <w:t>creatinine</w:t>
      </w:r>
      <w:proofErr w:type="spellEnd"/>
      <w:r>
        <w:t xml:space="preserve">.  Multiplying by a male/female average </w:t>
      </w:r>
      <w:proofErr w:type="spellStart"/>
      <w:r>
        <w:t>creatinine</w:t>
      </w:r>
      <w:proofErr w:type="spellEnd"/>
      <w:r>
        <w:t xml:space="preserve"> excretion rate of 1.7 g/day [calculated from distributional data of </w:t>
      </w:r>
      <w:proofErr w:type="spellStart"/>
      <w:r>
        <w:t>Garde</w:t>
      </w:r>
      <w:proofErr w:type="spellEnd"/>
      <w:r>
        <w:t xml:space="preserve"> et al. (2004) </w:t>
      </w:r>
      <w:r w:rsidR="004375A8">
        <w:fldChar w:fldCharType="begin"/>
      </w:r>
      <w:r w:rsidR="002B6D02">
        <w:instrText xml:space="preserve"> ADDIN EN.CITE &lt;EndNote&gt;&lt;Cite&gt;&lt;Author&gt;Karunanayake&lt;/Author&gt;&lt;Year&gt;2012&lt;/Year&gt;&lt;RecNum&gt;237&lt;/RecNum&gt;&lt;DisplayText&gt;&lt;style face="superscript"&gt;(22)&lt;/style&gt;&lt;/DisplayText&gt;&lt;record&gt;&lt;rec-number&gt;237&lt;/rec-number&gt;&lt;foreign-keys&gt;&lt;key app="EN" db-id="xftvffafmwpe0fedf055pwp7ts95t0ta0v0a"&gt;237&lt;/key&gt;&lt;/foreign-keys&gt;&lt;ref-type name="Journal Article"&gt;17&lt;/ref-type&gt;&lt;contributors&gt;&lt;authors&gt;&lt;author&gt;Karunanayake, C. P.&lt;/author&gt;&lt;author&gt;Spinelli, J. J.&lt;/author&gt;&lt;author&gt;McLaughlin, J. R.&lt;/author&gt;&lt;author&gt;Dosman, J. A.&lt;/author&gt;&lt;author&gt;Pahwa, P.&lt;/author&gt;&lt;author&gt;McDuffie, H. H.&lt;/author&gt;&lt;/authors&gt;&lt;/contributors&gt;&lt;auth-address&gt;a Canadian Centre for Health and Safety in Agriculture , University of Saskatchewan , Saskatoon , Canada.&lt;/auth-address&gt;&lt;titles&gt;&lt;title&gt;Hodgkin lymphoma and pesticides exposure in men: a canadian case-control study&lt;/title&gt;&lt;secondary-title&gt;J Agromedicine&lt;/secondary-title&gt;&lt;/titles&gt;&lt;periodical&gt;&lt;full-title&gt;J Agromedicine&lt;/full-title&gt;&lt;/periodical&gt;&lt;pages&gt;30-9&lt;/pages&gt;&lt;volume&gt;17&lt;/volume&gt;&lt;number&gt;1&lt;/number&gt;&lt;edition&gt;2011/12/24&lt;/edition&gt;&lt;dates&gt;&lt;year&gt;2012&lt;/year&gt;&lt;pub-dates&gt;&lt;date&gt;Jan&lt;/date&gt;&lt;/pub-dates&gt;&lt;/dates&gt;&lt;isbn&gt;1545-0813 (Electronic)&amp;#xD;1059-924X (Linking)&lt;/isbn&gt;&lt;accession-num&gt;22191501&lt;/accession-num&gt;&lt;urls&gt;&lt;related-urls&gt;&lt;url&gt;http://www.ncbi.nlm.nih.gov/pubmed/22191501&lt;/url&gt;&lt;/related-urls&gt;&lt;/urls&gt;&lt;electronic-resource-num&gt;10.1080/1059924X.2012.632726&lt;/electronic-resource-num&gt;&lt;language&gt;eng&lt;/language&gt;&lt;/record&gt;&lt;/Cite&gt;&lt;/EndNote&gt;</w:instrText>
      </w:r>
      <w:r w:rsidR="004375A8">
        <w:fldChar w:fldCharType="separate"/>
      </w:r>
      <w:r w:rsidR="002B6D02" w:rsidRPr="002B6D02">
        <w:rPr>
          <w:noProof/>
          <w:vertAlign w:val="superscript"/>
        </w:rPr>
        <w:t>(</w:t>
      </w:r>
      <w:hyperlink w:anchor="_ENREF_22" w:tooltip="Karunanayake, 2012 #237" w:history="1">
        <w:r w:rsidR="002B6D02" w:rsidRPr="002B6D02">
          <w:rPr>
            <w:noProof/>
            <w:vertAlign w:val="superscript"/>
          </w:rPr>
          <w:t>22</w:t>
        </w:r>
      </w:hyperlink>
      <w:r w:rsidR="002B6D02" w:rsidRPr="002B6D02">
        <w:rPr>
          <w:noProof/>
          <w:vertAlign w:val="superscript"/>
        </w:rPr>
        <w:t>)</w:t>
      </w:r>
      <w:r w:rsidR="004375A8">
        <w:fldChar w:fldCharType="end"/>
      </w:r>
      <w:r>
        <w:t xml:space="preserve">], the expectation is for background </w:t>
      </w:r>
      <w:proofErr w:type="spellStart"/>
      <w:r>
        <w:t>TCPy</w:t>
      </w:r>
      <w:proofErr w:type="spellEnd"/>
      <w:r>
        <w:t xml:space="preserve"> excretion of about 5.2 µg/day, or about 26 µg over the 5 days of the Nolan et al. </w:t>
      </w:r>
      <w:r w:rsidR="00FE0200">
        <w:t xml:space="preserve">observations.  As it happens this is a fairly small fraction of the average reported excretion of </w:t>
      </w:r>
      <w:proofErr w:type="spellStart"/>
      <w:r w:rsidR="00FE0200">
        <w:t>TCPy</w:t>
      </w:r>
      <w:proofErr w:type="spellEnd"/>
      <w:r w:rsidR="00FE0200">
        <w:t xml:space="preserve"> in the Nolan experiment of 17,800 µg.  Relative to the average administered dose of 23.5 mg of </w:t>
      </w:r>
      <w:proofErr w:type="spellStart"/>
      <w:r w:rsidR="00FE0200">
        <w:t>TCPy</w:t>
      </w:r>
      <w:proofErr w:type="spellEnd"/>
      <w:r w:rsidR="00FE0200">
        <w:t xml:space="preserve">-equivalents (23,500 µg) the background represents about 0.11%).  After subtracting this amount from the reported excretion observations, we can now estimate the fraction of generated </w:t>
      </w:r>
      <w:proofErr w:type="spellStart"/>
      <w:r w:rsidR="00FE0200">
        <w:t>TCPy</w:t>
      </w:r>
      <w:proofErr w:type="spellEnd"/>
      <w:r w:rsidR="00FE0200">
        <w:t xml:space="preserve"> expected to remain in the men’s bodies from the terminal rate of exponential decline in the </w:t>
      </w:r>
      <w:proofErr w:type="spellStart"/>
      <w:r w:rsidR="00FE0200">
        <w:t>TCPy</w:t>
      </w:r>
      <w:proofErr w:type="spellEnd"/>
      <w:r w:rsidR="00FE0200">
        <w:t xml:space="preserve"> excretion observed in the Nolan et al. data (Figure </w:t>
      </w:r>
      <w:r w:rsidR="009947E3">
        <w:t>S3</w:t>
      </w:r>
      <w:r w:rsidR="00FE0200">
        <w:t>)</w:t>
      </w:r>
      <w:r w:rsidR="00FE0200" w:rsidRPr="00C4197A">
        <w:t xml:space="preserve"> </w:t>
      </w:r>
      <w:r w:rsidR="004375A8">
        <w:fldChar w:fldCharType="begin"/>
      </w:r>
      <w:r w:rsidR="002B6D02">
        <w:instrText xml:space="preserve"> ADDIN EN.CITE &lt;EndNote&gt;&lt;Cite&gt;&lt;Author&gt;Anonymous&lt;/Author&gt;&lt;Year&gt;2008&lt;/Year&gt;&lt;RecNum&gt;210&lt;/RecNum&gt;&lt;DisplayText&gt;&lt;style face="superscript"&gt;(20)&lt;/style&gt;&lt;/DisplayText&gt;&lt;record&gt;&lt;rec-number&gt;210&lt;/rec-number&gt;&lt;foreign-keys&gt;&lt;key app="EN" db-id="xftvffafmwpe0fedf055pwp7ts95t0ta0v0a"&gt;210&lt;/key&gt;&lt;/foreign-keys&gt;&lt;ref-type name="Journal Article"&gt;17&lt;/ref-type&gt;&lt;contributors&gt;&lt;authors&gt;&lt;author&gt;Anonymous&lt;/author&gt;&lt;/authors&gt;&lt;/contributors&gt;&lt;titles&gt;&lt;title&gt;EPA Summary of MRID 00124144 Nolan. R. J.; Freshner, N.L.; et al. (1982) Chlorpyrifos: Pharmacokinetics in Human Volunteers Following Single Oral and Dermal Doses Toxicology and Applied Pharmacology. 73, 8-15 (1984).&lt;/title&gt;&lt;secondary-title&gt;EPA Hearing Docket #EPA-HQ-OPP-2008-0274-0012.2.pdf&lt;/secondary-title&gt;&lt;/titles&gt;&lt;periodical&gt;&lt;full-title&gt;EPA Hearing Docket #EPA-HQ-OPP-2008-0274-0012.2.pdf&lt;/full-title&gt;&lt;/periodical&gt;&lt;dates&gt;&lt;year&gt;2008&lt;/year&gt;&lt;/dates&gt;&lt;urls&gt;&lt;/urls&gt;&lt;/record&gt;&lt;/Cite&gt;&lt;/EndNote&gt;</w:instrText>
      </w:r>
      <w:r w:rsidR="004375A8">
        <w:fldChar w:fldCharType="separate"/>
      </w:r>
      <w:r w:rsidR="002B6D02" w:rsidRPr="002B6D02">
        <w:rPr>
          <w:noProof/>
          <w:vertAlign w:val="superscript"/>
        </w:rPr>
        <w:t>(</w:t>
      </w:r>
      <w:hyperlink w:anchor="_ENREF_20" w:tooltip="Anonymous, 2008 #210" w:history="1">
        <w:r w:rsidR="002B6D02" w:rsidRPr="002B6D02">
          <w:rPr>
            <w:noProof/>
            <w:vertAlign w:val="superscript"/>
          </w:rPr>
          <w:t>20</w:t>
        </w:r>
      </w:hyperlink>
      <w:r w:rsidR="002B6D02" w:rsidRPr="002B6D02">
        <w:rPr>
          <w:noProof/>
          <w:vertAlign w:val="superscript"/>
        </w:rPr>
        <w:t>)</w:t>
      </w:r>
      <w:r w:rsidR="004375A8">
        <w:fldChar w:fldCharType="end"/>
      </w:r>
      <w:r w:rsidR="00FE0200">
        <w:t xml:space="preserve">.  </w:t>
      </w:r>
    </w:p>
    <w:p w:rsidR="00FE0200" w:rsidRDefault="00FE0200" w:rsidP="00FE0200">
      <w:pPr>
        <w:pStyle w:val="Body2"/>
      </w:pPr>
      <w:r>
        <w:t xml:space="preserve">Considering the rate of exponential decline from 18 hours on, the indicated half life of </w:t>
      </w:r>
      <w:proofErr w:type="spellStart"/>
      <w:r>
        <w:t>TCPy</w:t>
      </w:r>
      <w:proofErr w:type="spellEnd"/>
      <w:r>
        <w:t xml:space="preserve"> is 30.9 hours.  If </w:t>
      </w:r>
      <w:proofErr w:type="spellStart"/>
      <w:r>
        <w:t>TCPy</w:t>
      </w:r>
      <w:proofErr w:type="spellEnd"/>
      <w:r>
        <w:t xml:space="preserve"> generation is essentially complete by 6 hours after dosing, this half life implies that about 7.8% of </w:t>
      </w:r>
      <w:proofErr w:type="spellStart"/>
      <w:r>
        <w:t>TCPy</w:t>
      </w:r>
      <w:proofErr w:type="spellEnd"/>
      <w:r>
        <w:t xml:space="preserve"> generated from </w:t>
      </w:r>
      <w:proofErr w:type="spellStart"/>
      <w:r>
        <w:t>chlorpyrifos</w:t>
      </w:r>
      <w:proofErr w:type="spellEnd"/>
      <w:r>
        <w:t xml:space="preserve"> would be expected to remain in the body after 5 days.  This amount therefore needs to be added to the estimate of the total oral absorption of </w:t>
      </w:r>
      <w:proofErr w:type="spellStart"/>
      <w:r>
        <w:t>chlorpyrifos</w:t>
      </w:r>
      <w:proofErr w:type="spellEnd"/>
      <w:r>
        <w:t xml:space="preserve">, giving us 72.2% (from the original ratio of excretion/dose) – 0.11% (from background </w:t>
      </w:r>
      <w:proofErr w:type="spellStart"/>
      <w:r>
        <w:t>TCPy</w:t>
      </w:r>
      <w:proofErr w:type="spellEnd"/>
      <w:r>
        <w:t xml:space="preserve"> excretion) + 7.8%  (from TCP remaining in the body) = 84.8% total mean ingested CPF absorbed.  The mean AUC per mg/kg absorbed dose for the five men studied by Nolan is therefore 111.8/(.848*.5 mg/kg) = 264 (</w:t>
      </w:r>
      <w:proofErr w:type="spellStart"/>
      <w:r>
        <w:t>ng</w:t>
      </w:r>
      <w:proofErr w:type="spellEnd"/>
      <w:r>
        <w:t xml:space="preserve">-hr/ml)/(mg/kg absorbed).  We take the standard error of the mean absorption fraction to be proportionate to the mean of the total percentage excretion, giving us a standard error for uncertainty calculations of about 6%*84.8/72.2 = 6.6%.  </w:t>
      </w:r>
    </w:p>
    <w:p w:rsidR="00FE0200" w:rsidRDefault="00FE0200" w:rsidP="00FE0200">
      <w:pPr>
        <w:pStyle w:val="Body2"/>
      </w:pPr>
      <w:r>
        <w:t>Combining both absorption rate and observed AUCs as sources uncertainty, the indicated liver metabolism rate for the 5 males observed by Nolan et al. is describable as a lognormal distribution with a geometric mean of 0.2565/min and a geometric standard deviation of 1.1789.</w:t>
      </w:r>
    </w:p>
    <w:p w:rsidR="00FE0200" w:rsidRDefault="00FE0200" w:rsidP="00FE0200">
      <w:pPr>
        <w:pStyle w:val="Body2"/>
      </w:pPr>
      <w:r>
        <w:t>Of course the central estimate and uncertainty derived in this way pertains to measurements in the Nolan et al. males.  This must be corrected for</w:t>
      </w:r>
    </w:p>
    <w:p w:rsidR="00FE0200" w:rsidRDefault="00FE0200" w:rsidP="00FE0200">
      <w:pPr>
        <w:pStyle w:val="Body2"/>
      </w:pPr>
    </w:p>
    <w:p w:rsidR="00FE0200" w:rsidRPr="001B76CF" w:rsidRDefault="00FE0200" w:rsidP="00FE0200">
      <w:pPr>
        <w:pStyle w:val="ListParagraph"/>
        <w:numPr>
          <w:ilvl w:val="0"/>
          <w:numId w:val="5"/>
        </w:numPr>
        <w:tabs>
          <w:tab w:val="left" w:pos="3060"/>
        </w:tabs>
        <w:ind w:left="1260" w:hanging="540"/>
        <w:rPr>
          <w:rFonts w:ascii="Times New Roman" w:hAnsi="Times New Roman"/>
        </w:rPr>
      </w:pPr>
      <w:r>
        <w:t>Male/female differences</w:t>
      </w:r>
    </w:p>
    <w:p w:rsidR="00FE0200" w:rsidRPr="001B76CF" w:rsidRDefault="00FE0200" w:rsidP="00FE0200">
      <w:pPr>
        <w:pStyle w:val="ListParagraph"/>
        <w:numPr>
          <w:ilvl w:val="0"/>
          <w:numId w:val="5"/>
        </w:numPr>
        <w:tabs>
          <w:tab w:val="left" w:pos="3060"/>
        </w:tabs>
        <w:spacing w:before="240"/>
        <w:ind w:left="1267" w:hanging="547"/>
        <w:rPr>
          <w:rFonts w:ascii="Times New Roman" w:hAnsi="Times New Roman"/>
        </w:rPr>
      </w:pPr>
      <w:r>
        <w:t>Pregnant/non-pregnant differences</w:t>
      </w:r>
      <w:r w:rsidR="009947E3">
        <w:t xml:space="preserve"> (as derived before in section 2 above</w:t>
      </w:r>
      <w:r>
        <w:t xml:space="preserve">, including both metabolic rate and partition coefficient uncertainties). </w:t>
      </w:r>
    </w:p>
    <w:p w:rsidR="00FE0200" w:rsidRPr="001B76CF" w:rsidRDefault="00FE0200" w:rsidP="00FE0200">
      <w:pPr>
        <w:pStyle w:val="ListParagraph"/>
        <w:tabs>
          <w:tab w:val="left" w:pos="3060"/>
        </w:tabs>
        <w:spacing w:before="240"/>
        <w:ind w:left="1267"/>
        <w:rPr>
          <w:rFonts w:ascii="Times New Roman" w:hAnsi="Times New Roman"/>
        </w:rPr>
      </w:pPr>
    </w:p>
    <w:p w:rsidR="00FE0200" w:rsidRDefault="00FE0200" w:rsidP="00FE0200">
      <w:pPr>
        <w:pStyle w:val="Body2"/>
      </w:pPr>
      <w:r>
        <w:t xml:space="preserve">The first of these can be inferred from the liver </w:t>
      </w:r>
      <w:proofErr w:type="spellStart"/>
      <w:r>
        <w:t>microsome</w:t>
      </w:r>
      <w:proofErr w:type="spellEnd"/>
      <w:r>
        <w:t xml:space="preserve"> metabolism rate information in Table X.  The differences between the metabolism rates for adult men </w:t>
      </w:r>
      <w:proofErr w:type="spellStart"/>
      <w:r>
        <w:t>vs</w:t>
      </w:r>
      <w:proofErr w:type="spellEnd"/>
      <w:r>
        <w:t xml:space="preserve"> adult women was almost twofold, based on the geometric means, but this difference is not statistically significant by usual criteria (P = 0.13).  Nevertheless the comparative rate data can be described by an uncertainty/confidence distribution.  The central estimate of this female/male metabolism rate </w:t>
      </w:r>
    </w:p>
    <w:p w:rsidR="000E3055" w:rsidRDefault="00FE0200" w:rsidP="000E3055">
      <w:r>
        <w:t>.</w:t>
      </w:r>
      <w:r w:rsidR="000E3055" w:rsidRPr="000E3055">
        <w:t xml:space="preserve"> </w:t>
      </w:r>
      <w:r w:rsidR="000E3055">
        <w:br w:type="page"/>
      </w:r>
    </w:p>
    <w:p w:rsidR="000E3055" w:rsidRDefault="000E3055" w:rsidP="000E3055"/>
    <w:p w:rsidR="000E3055" w:rsidRDefault="000E3055" w:rsidP="000E3055"/>
    <w:p w:rsidR="000E3055" w:rsidRDefault="000E3055" w:rsidP="000E3055"/>
    <w:p w:rsidR="000E3055" w:rsidRDefault="000E3055" w:rsidP="000E3055"/>
    <w:p w:rsidR="000E3055" w:rsidRDefault="000E3055" w:rsidP="000E3055"/>
    <w:p w:rsidR="000E3055" w:rsidRDefault="000E3055" w:rsidP="000E3055">
      <w:pPr>
        <w:keepNext/>
        <w:widowControl w:val="0"/>
        <w:autoSpaceDE w:val="0"/>
        <w:autoSpaceDN w:val="0"/>
        <w:adjustRightInd w:val="0"/>
        <w:rPr>
          <w:rFonts w:ascii="Times New Roman" w:hAnsi="Times New Roman" w:cs="Times New Roman"/>
          <w:b/>
          <w:bCs/>
          <w:color w:val="000000"/>
        </w:rPr>
      </w:pPr>
      <w:r>
        <w:rPr>
          <w:noProof/>
          <w:lang w:eastAsia="en-US"/>
        </w:rPr>
        <w:drawing>
          <wp:inline distT="0" distB="0" distL="0" distR="0">
            <wp:extent cx="5652135" cy="4260511"/>
            <wp:effectExtent l="0" t="0" r="12065"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2"/>
                    <a:stretch>
                      <a:fillRect/>
                    </a:stretch>
                  </pic:blipFill>
                  <pic:spPr>
                    <a:xfrm>
                      <a:off x="0" y="0"/>
                      <a:ext cx="5652512" cy="4260795"/>
                    </a:xfrm>
                    <a:prstGeom prst="rect">
                      <a:avLst/>
                    </a:prstGeom>
                  </pic:spPr>
                </pic:pic>
              </a:graphicData>
            </a:graphic>
          </wp:inline>
        </w:drawing>
      </w:r>
      <w:r>
        <w:rPr>
          <w:rFonts w:ascii="Times New Roman" w:hAnsi="Times New Roman" w:cs="Times New Roman"/>
          <w:b/>
          <w:bCs/>
          <w:color w:val="000000"/>
        </w:rPr>
        <w:t xml:space="preserve"> </w:t>
      </w:r>
    </w:p>
    <w:p w:rsidR="000E3055" w:rsidRDefault="000E3055" w:rsidP="000E3055">
      <w:pPr>
        <w:keepNext/>
        <w:widowControl w:val="0"/>
        <w:autoSpaceDE w:val="0"/>
        <w:autoSpaceDN w:val="0"/>
        <w:adjustRightInd w:val="0"/>
        <w:rPr>
          <w:rFonts w:ascii="Times New Roman" w:hAnsi="Times New Roman" w:cs="Times New Roman"/>
          <w:b/>
          <w:bCs/>
          <w:color w:val="000000"/>
        </w:rPr>
      </w:pPr>
    </w:p>
    <w:p w:rsidR="000E3055" w:rsidRDefault="000E3055" w:rsidP="000E3055">
      <w:pPr>
        <w:keepNext/>
        <w:widowControl w:val="0"/>
        <w:autoSpaceDE w:val="0"/>
        <w:autoSpaceDN w:val="0"/>
        <w:adjustRightInd w:val="0"/>
        <w:jc w:val="center"/>
        <w:rPr>
          <w:rFonts w:ascii="Times New Roman" w:hAnsi="Times New Roman" w:cs="Times New Roman"/>
          <w:bCs/>
          <w:color w:val="000000"/>
        </w:rPr>
      </w:pPr>
      <w:r>
        <w:rPr>
          <w:rFonts w:ascii="Times New Roman" w:hAnsi="Times New Roman" w:cs="Times New Roman"/>
          <w:b/>
          <w:bCs/>
          <w:color w:val="000000"/>
        </w:rPr>
        <w:t xml:space="preserve">Fig S2. </w:t>
      </w:r>
      <w:r>
        <w:rPr>
          <w:rFonts w:ascii="Times New Roman" w:hAnsi="Times New Roman" w:cs="Times New Roman"/>
          <w:bCs/>
          <w:color w:val="000000"/>
        </w:rPr>
        <w:t xml:space="preserve">Lognormal plot of the distribution of TCPY excretion (µg) per gram of </w:t>
      </w:r>
      <w:proofErr w:type="spellStart"/>
      <w:r>
        <w:rPr>
          <w:rFonts w:ascii="Times New Roman" w:hAnsi="Times New Roman" w:cs="Times New Roman"/>
          <w:bCs/>
          <w:color w:val="000000"/>
        </w:rPr>
        <w:t>creatinine</w:t>
      </w:r>
      <w:proofErr w:type="spellEnd"/>
      <w:r>
        <w:rPr>
          <w:rFonts w:ascii="Times New Roman" w:hAnsi="Times New Roman" w:cs="Times New Roman"/>
          <w:bCs/>
          <w:color w:val="000000"/>
        </w:rPr>
        <w:t xml:space="preserve"> in 900 NHANES III spot samples from adults.  Antilog geometric mean = 2.18 µg/g; geometric standard deviation = 2.297</w:t>
      </w:r>
    </w:p>
    <w:p w:rsidR="000E3055" w:rsidRPr="00B22F52" w:rsidRDefault="000E3055" w:rsidP="000E3055">
      <w:pPr>
        <w:keepNext/>
        <w:widowControl w:val="0"/>
        <w:autoSpaceDE w:val="0"/>
        <w:autoSpaceDN w:val="0"/>
        <w:adjustRightInd w:val="0"/>
        <w:rPr>
          <w:rFonts w:ascii="Times New Roman" w:hAnsi="Times New Roman" w:cs="Times New Roman"/>
          <w:bCs/>
          <w:color w:val="000000"/>
        </w:rPr>
      </w:pPr>
      <w:r>
        <w:rPr>
          <w:rFonts w:ascii="Times New Roman" w:hAnsi="Times New Roman" w:cs="Times New Roman"/>
          <w:bCs/>
          <w:color w:val="000000"/>
        </w:rPr>
        <w:t>Data Source:  Hill et al.</w:t>
      </w:r>
      <w:r w:rsidRPr="00B22F52">
        <w:rPr>
          <w:noProof/>
          <w:vertAlign w:val="superscript"/>
        </w:rPr>
        <w:t xml:space="preserve"> </w:t>
      </w:r>
      <w:r>
        <w:rPr>
          <w:noProof/>
          <w:vertAlign w:val="superscript"/>
        </w:rPr>
        <w:t>(</w:t>
      </w:r>
      <w:hyperlink w:anchor="_ENREF_30" w:tooltip="Hill, 1995 #236" w:history="1">
        <w:r w:rsidRPr="005907A2">
          <w:rPr>
            <w:noProof/>
            <w:vertAlign w:val="superscript"/>
          </w:rPr>
          <w:t>30</w:t>
        </w:r>
      </w:hyperlink>
      <w:r w:rsidRPr="005907A2">
        <w:rPr>
          <w:noProof/>
          <w:vertAlign w:val="superscript"/>
        </w:rPr>
        <w:t>)</w:t>
      </w:r>
    </w:p>
    <w:p w:rsidR="00FE0200" w:rsidRPr="001553D6" w:rsidRDefault="00FE0200" w:rsidP="00FE0200">
      <w:pPr>
        <w:pStyle w:val="Body2"/>
      </w:pPr>
    </w:p>
    <w:p w:rsidR="00FE0200" w:rsidRDefault="00FE0200" w:rsidP="00FE0200">
      <w:pPr>
        <w:pStyle w:val="Body2"/>
      </w:pPr>
      <w:r>
        <w:rPr>
          <w:noProof/>
          <w:lang w:eastAsia="en-US"/>
        </w:rPr>
        <w:lastRenderedPageBreak/>
        <w:drawing>
          <wp:inline distT="0" distB="0" distL="0" distR="0">
            <wp:extent cx="6034036" cy="4574540"/>
            <wp:effectExtent l="0" t="0" r="1143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34036" cy="4574540"/>
                    </a:xfrm>
                    <a:prstGeom prst="rect">
                      <a:avLst/>
                    </a:prstGeom>
                    <a:noFill/>
                    <a:ln>
                      <a:noFill/>
                    </a:ln>
                  </pic:spPr>
                </pic:pic>
              </a:graphicData>
            </a:graphic>
          </wp:inline>
        </w:drawing>
      </w:r>
    </w:p>
    <w:p w:rsidR="00FE0200" w:rsidRDefault="00FE0200" w:rsidP="00FE0200">
      <w:pPr>
        <w:pStyle w:val="Body2"/>
        <w:jc w:val="center"/>
      </w:pPr>
      <w:r>
        <w:rPr>
          <w:b/>
        </w:rPr>
        <w:t xml:space="preserve">Fig. </w:t>
      </w:r>
      <w:r w:rsidR="009947E3">
        <w:rPr>
          <w:b/>
        </w:rPr>
        <w:t>S</w:t>
      </w:r>
      <w:r>
        <w:rPr>
          <w:b/>
        </w:rPr>
        <w:t xml:space="preserve">3.  </w:t>
      </w:r>
      <w:r>
        <w:t xml:space="preserve">Mean decline of TCP excretion following a 0.5 mg/kg dose of CPF for 5 subjects studied by Nolan.  Plot of </w:t>
      </w:r>
      <w:proofErr w:type="spellStart"/>
      <w:proofErr w:type="gramStart"/>
      <w:r>
        <w:t>ln</w:t>
      </w:r>
      <w:proofErr w:type="spellEnd"/>
      <w:r>
        <w:t>(</w:t>
      </w:r>
      <w:proofErr w:type="gramEnd"/>
      <w:r>
        <w:t xml:space="preserve">TCP in µg/hr) </w:t>
      </w:r>
      <w:proofErr w:type="spellStart"/>
      <w:r>
        <w:t>vs</w:t>
      </w:r>
      <w:proofErr w:type="spellEnd"/>
      <w:r>
        <w:t xml:space="preserve"> time.  The slope of the line for the 18+ hours after dosing is -0.0224 with a standard error of 0.0009.</w:t>
      </w:r>
    </w:p>
    <w:p w:rsidR="00FE0200" w:rsidRPr="00E46CCF" w:rsidRDefault="00FE0200" w:rsidP="00FE0200">
      <w:pPr>
        <w:pStyle w:val="Body2"/>
      </w:pPr>
      <w:r>
        <w:t xml:space="preserve">Data Source:  Nolan et al. (1982), summarized in </w:t>
      </w:r>
      <w:r w:rsidR="004375A8">
        <w:fldChar w:fldCharType="begin"/>
      </w:r>
      <w:r w:rsidR="002B6D02">
        <w:instrText xml:space="preserve"> ADDIN EN.CITE &lt;EndNote&gt;&lt;Cite&gt;&lt;Author&gt;Anonymous&lt;/Author&gt;&lt;Year&gt;2008&lt;/Year&gt;&lt;RecNum&gt;210&lt;/RecNum&gt;&lt;DisplayText&gt;&lt;style face="superscript"&gt;(20)&lt;/style&gt;&lt;/DisplayText&gt;&lt;record&gt;&lt;rec-number&gt;210&lt;/rec-number&gt;&lt;foreign-keys&gt;&lt;key app="EN" db-id="xftvffafmwpe0fedf055pwp7ts95t0ta0v0a"&gt;210&lt;/key&gt;&lt;/foreign-keys&gt;&lt;ref-type name="Journal Article"&gt;17&lt;/ref-type&gt;&lt;contributors&gt;&lt;authors&gt;&lt;author&gt;Anonymous&lt;/author&gt;&lt;/authors&gt;&lt;/contributors&gt;&lt;titles&gt;&lt;title&gt;EPA Summary of MRID 00124144 Nolan. R. J.; Freshner, N.L.; et al. (1982) Chlorpyrifos: Pharmacokinetics in Human Volunteers Following Single Oral and Dermal Doses Toxicology and Applied Pharmacology. 73, 8-15 (1984).&lt;/title&gt;&lt;secondary-title&gt;EPA Hearing Docket #EPA-HQ-OPP-2008-0274-0012.2.pdf&lt;/secondary-title&gt;&lt;/titles&gt;&lt;periodical&gt;&lt;full-title&gt;EPA Hearing Docket #EPA-HQ-OPP-2008-0274-0012.2.pdf&lt;/full-title&gt;&lt;/periodical&gt;&lt;dates&gt;&lt;year&gt;2008&lt;/year&gt;&lt;/dates&gt;&lt;urls&gt;&lt;/urls&gt;&lt;/record&gt;&lt;/Cite&gt;&lt;/EndNote&gt;</w:instrText>
      </w:r>
      <w:r w:rsidR="004375A8">
        <w:fldChar w:fldCharType="separate"/>
      </w:r>
      <w:r w:rsidR="002B6D02" w:rsidRPr="002B6D02">
        <w:rPr>
          <w:noProof/>
          <w:vertAlign w:val="superscript"/>
        </w:rPr>
        <w:t>(</w:t>
      </w:r>
      <w:hyperlink w:anchor="_ENREF_20" w:tooltip="Anonymous, 2008 #210" w:history="1">
        <w:r w:rsidR="002B6D02" w:rsidRPr="002B6D02">
          <w:rPr>
            <w:noProof/>
            <w:vertAlign w:val="superscript"/>
          </w:rPr>
          <w:t>20</w:t>
        </w:r>
      </w:hyperlink>
      <w:r w:rsidR="002B6D02" w:rsidRPr="002B6D02">
        <w:rPr>
          <w:noProof/>
          <w:vertAlign w:val="superscript"/>
        </w:rPr>
        <w:t>)</w:t>
      </w:r>
      <w:r w:rsidR="004375A8">
        <w:fldChar w:fldCharType="end"/>
      </w:r>
      <w:r>
        <w:t>.</w:t>
      </w:r>
    </w:p>
    <w:p w:rsidR="00FE0200" w:rsidRDefault="00FE0200" w:rsidP="00FE0200">
      <w:r>
        <w:br w:type="page"/>
      </w:r>
    </w:p>
    <w:p w:rsidR="00B33460" w:rsidRDefault="009947E3" w:rsidP="00FE0200">
      <w:pPr>
        <w:pStyle w:val="Body2"/>
      </w:pPr>
      <w:proofErr w:type="gramStart"/>
      <w:r>
        <w:lastRenderedPageBreak/>
        <w:t>distribution</w:t>
      </w:r>
      <w:proofErr w:type="gramEnd"/>
      <w:r>
        <w:t xml:space="preserve"> is just the ratio of the female/male geometric mean metabolism rates, or about 0.496.  Because the variance of a sum or difference of two uncertain quantities is the sum of the component variances, and because dividing the female metabolism rate by the male metabolism rate is equivalent to subtracting their logarithms, the lognormal uncertainty variance for the ratio of adult female/adult male CPF metabolism rates is expected to be: </w:t>
      </w:r>
    </w:p>
    <w:p w:rsidR="00FE0200" w:rsidRDefault="00FE0200" w:rsidP="00FE0200">
      <w:pPr>
        <w:pStyle w:val="Body2"/>
      </w:pPr>
      <w:r>
        <w:t>[</w:t>
      </w:r>
      <w:proofErr w:type="gramStart"/>
      <w:r>
        <w:t>Log(</w:t>
      </w:r>
      <w:proofErr w:type="spellStart"/>
      <w:proofErr w:type="gramEnd"/>
      <w:r>
        <w:t>Geom</w:t>
      </w:r>
      <w:proofErr w:type="spellEnd"/>
      <w:r>
        <w:t xml:space="preserve"> std error for female metabolism)]</w:t>
      </w:r>
      <w:r>
        <w:rPr>
          <w:sz w:val="28"/>
          <w:szCs w:val="28"/>
          <w:vertAlign w:val="superscript"/>
        </w:rPr>
        <w:t>2</w:t>
      </w:r>
      <w:r>
        <w:t xml:space="preserve"> + [Log(</w:t>
      </w:r>
      <w:proofErr w:type="spellStart"/>
      <w:r>
        <w:t>Geom</w:t>
      </w:r>
      <w:proofErr w:type="spellEnd"/>
      <w:r>
        <w:t xml:space="preserve"> std error for male metabolism)]</w:t>
      </w:r>
      <w:r>
        <w:rPr>
          <w:sz w:val="28"/>
          <w:szCs w:val="28"/>
          <w:vertAlign w:val="superscript"/>
        </w:rPr>
        <w:t>2</w:t>
      </w:r>
      <w:r>
        <w:t xml:space="preserve"> </w:t>
      </w:r>
    </w:p>
    <w:p w:rsidR="00FE0200" w:rsidRDefault="00FE0200" w:rsidP="00FE0200">
      <w:pPr>
        <w:pStyle w:val="Body2"/>
      </w:pPr>
      <w:r>
        <w:t>= [</w:t>
      </w:r>
      <w:proofErr w:type="gramStart"/>
      <w:r>
        <w:t>Log(</w:t>
      </w:r>
      <w:proofErr w:type="gramEnd"/>
      <w:r>
        <w:t>1.351)]</w:t>
      </w:r>
      <w:r>
        <w:rPr>
          <w:sz w:val="28"/>
          <w:szCs w:val="28"/>
          <w:vertAlign w:val="superscript"/>
        </w:rPr>
        <w:t>2</w:t>
      </w:r>
      <w:r>
        <w:t>+ [Log(1.331)]</w:t>
      </w:r>
      <w:r w:rsidRPr="002A5E21">
        <w:rPr>
          <w:sz w:val="28"/>
          <w:szCs w:val="28"/>
          <w:vertAlign w:val="superscript"/>
        </w:rPr>
        <w:t xml:space="preserve"> </w:t>
      </w:r>
      <w:r>
        <w:rPr>
          <w:sz w:val="28"/>
          <w:szCs w:val="28"/>
          <w:vertAlign w:val="superscript"/>
        </w:rPr>
        <w:t>2</w:t>
      </w:r>
      <w:r>
        <w:t xml:space="preserve"> = 0.03224</w:t>
      </w:r>
    </w:p>
    <w:p w:rsidR="00FE0200" w:rsidRDefault="00FE0200" w:rsidP="00FE0200">
      <w:pPr>
        <w:pStyle w:val="Body2"/>
      </w:pPr>
      <w:r>
        <w:t xml:space="preserve">The combined </w:t>
      </w:r>
      <w:proofErr w:type="gramStart"/>
      <w:r>
        <w:t>log(</w:t>
      </w:r>
      <w:proofErr w:type="gramEnd"/>
      <w:r>
        <w:t xml:space="preserve">geometric standard error) is just the square root of this variance, or 0.1801, yielding an antilog geometric standard error for the female/male metabolic rate ratio of 1.514.  Therefore for </w:t>
      </w:r>
      <w:proofErr w:type="spellStart"/>
      <w:r>
        <w:t>nonpregnant</w:t>
      </w:r>
      <w:proofErr w:type="spellEnd"/>
      <w:r>
        <w:t xml:space="preserve"> women we derive a central estimate the CPF liver metabolism rate from the Nolan observations of 0.256 * 0.496 = 0.127/min.  </w:t>
      </w:r>
    </w:p>
    <w:p w:rsidR="00FE0200" w:rsidRDefault="00FE0200" w:rsidP="00FE0200">
      <w:pPr>
        <w:pStyle w:val="Body2"/>
      </w:pPr>
      <w:r>
        <w:t xml:space="preserve">For pregnant women, as before, we need to multiply the central estimate by the pregnant/non-pregnant ratio from </w:t>
      </w:r>
      <w:r w:rsidR="00B33460">
        <w:t>Table S6</w:t>
      </w:r>
      <w:r>
        <w:t xml:space="preserve"> (1.931) giving us an overall central estimate metabolism rate for pregnant women of 0.246/min.  The uncertainty around the central estimate derived from the Nolan et al. observations is the result of combining the lognormal variances in liver metabolism rate from the Nolan estimates themselves (GSD 1.1789), with variances from the male/female comparison (GSD 1.514) and the variance from the standard deviation of the pregnant/</w:t>
      </w:r>
      <w:proofErr w:type="spellStart"/>
      <w:r>
        <w:t>nonpregnant</w:t>
      </w:r>
      <w:proofErr w:type="spellEnd"/>
      <w:r>
        <w:t xml:space="preserve"> ratio comparison in Table </w:t>
      </w:r>
      <w:r w:rsidR="00B33460">
        <w:t>S6</w:t>
      </w:r>
      <w:r>
        <w:t xml:space="preserve"> (GSD 2.272) (the standard deviation is used here rather than the standard error because CPF is modeled as a random draw from the specific chemicals for which we have data).   The combined lognormal uncertainty in the expected metabolism rate from the Nolan observations is therefore a lognormal distribution with a combined GSD of</w:t>
      </w:r>
    </w:p>
    <w:p w:rsidR="00FE0200" w:rsidRPr="00DE1BC1" w:rsidRDefault="004375A8" w:rsidP="00FE0200">
      <w:pPr>
        <w:pStyle w:val="Body2"/>
      </w:pPr>
      <m:oMath>
        <m:sSup>
          <m:sSupPr>
            <m:ctrlPr>
              <w:rPr>
                <w:rFonts w:ascii="Cambria Math" w:hAnsi="Cambria Math"/>
                <w:i/>
              </w:rPr>
            </m:ctrlPr>
          </m:sSupPr>
          <m:e>
            <m:r>
              <w:rPr>
                <w:rFonts w:ascii="Cambria Math" w:hAnsi="Cambria Math"/>
              </w:rPr>
              <m:t>{[</m:t>
            </m:r>
            <m:sSup>
              <m:sSupPr>
                <m:ctrlPr>
                  <w:rPr>
                    <w:rFonts w:ascii="Cambria Math" w:hAnsi="Cambria Math"/>
                    <w:i/>
                  </w:rPr>
                </m:ctrlPr>
              </m:sSupPr>
              <m:e>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1.1789</m:t>
                        </m:r>
                      </m:e>
                    </m:d>
                  </m:e>
                </m:func>
              </m:e>
              <m:sup>
                <m:r>
                  <w:rPr>
                    <w:rFonts w:ascii="Cambria Math" w:hAnsi="Cambria Math"/>
                  </w:rPr>
                  <m:t>2</m:t>
                </m:r>
              </m:sup>
            </m:sSup>
            <m:r>
              <w:rPr>
                <w:rFonts w:ascii="Cambria Math" w:hAnsi="Cambria Math"/>
              </w:rPr>
              <m:t>+</m:t>
            </m:r>
            <m:r>
              <m:rPr>
                <m:sty m:val="p"/>
              </m:rPr>
              <w:rPr>
                <w:rFonts w:ascii="Cambria Math" w:hAnsi="Cambria Math"/>
              </w:rPr>
              <m:t xml:space="preserve"> </m:t>
            </m:r>
            <m:sSup>
              <m:sSupPr>
                <m:ctrlPr>
                  <w:rPr>
                    <w:rFonts w:ascii="Cambria Math" w:hAnsi="Cambria Math"/>
                    <w:i/>
                  </w:rPr>
                </m:ctrlPr>
              </m:sSupPr>
              <m:e>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1.514</m:t>
                        </m:r>
                      </m:e>
                    </m:d>
                  </m:e>
                </m:func>
              </m:e>
              <m:sup>
                <m:r>
                  <w:rPr>
                    <w:rFonts w:ascii="Cambria Math" w:hAnsi="Cambria Math"/>
                  </w:rPr>
                  <m:t>2</m:t>
                </m:r>
              </m:sup>
            </m:sSup>
            <m:r>
              <w:rPr>
                <w:rFonts w:ascii="Cambria Math" w:hAnsi="Cambria Math"/>
              </w:rPr>
              <m:t>+</m:t>
            </m:r>
            <m:sSup>
              <m:sSupPr>
                <m:ctrlPr>
                  <w:rPr>
                    <w:rFonts w:ascii="Cambria Math" w:hAnsi="Cambria Math"/>
                    <w:i/>
                  </w:rPr>
                </m:ctrlPr>
              </m:sSupPr>
              <m:e>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2.272</m:t>
                        </m:r>
                      </m:e>
                    </m:d>
                  </m:e>
                </m:func>
              </m:e>
              <m:sup>
                <m:r>
                  <w:rPr>
                    <w:rFonts w:ascii="Cambria Math" w:hAnsi="Cambria Math"/>
                  </w:rPr>
                  <m:t>2</m:t>
                </m:r>
              </m:sup>
            </m:sSup>
            <m:r>
              <w:rPr>
                <w:rFonts w:ascii="Cambria Math" w:hAnsi="Cambria Math"/>
              </w:rPr>
              <m:t>]</m:t>
            </m:r>
          </m:e>
          <m:sup>
            <m:r>
              <w:rPr>
                <w:rFonts w:ascii="Cambria Math" w:hAnsi="Cambria Math"/>
              </w:rPr>
              <m:t>0.5</m:t>
            </m:r>
          </m:sup>
        </m:sSup>
        <m:r>
          <w:rPr>
            <w:rFonts w:ascii="Cambria Math" w:hAnsi="Cambria Math"/>
          </w:rPr>
          <m:t xml:space="preserve">= </m:t>
        </m:r>
      </m:oMath>
      <w:r w:rsidR="00FE0200">
        <w:t>2.545</w:t>
      </w:r>
    </w:p>
    <w:p w:rsidR="00FE0200" w:rsidRDefault="00FE0200" w:rsidP="00FE0200">
      <w:pPr>
        <w:pStyle w:val="Body2"/>
      </w:pPr>
      <w:r>
        <w:t xml:space="preserve">Given this, a ± 1 standard error range for the Nolan-calibrated metabolism rate is 0.096 – 0.625/min.  This in turn provides input for an analysis of the distribution for the expected </w:t>
      </w:r>
      <w:proofErr w:type="spellStart"/>
      <w:r>
        <w:t>dosimetry</w:t>
      </w:r>
      <w:proofErr w:type="spellEnd"/>
      <w:r>
        <w:t xml:space="preserve"> ratio (external dose/blood level for either inhalation or ingestion modes of absorption) for the combined uncertainties in metabolic rate and pregnancy-related tissue/blood partition coefficients.  The results of this analysis are shown in Table </w:t>
      </w:r>
      <w:r w:rsidR="00B33460">
        <w:t>S9</w:t>
      </w:r>
      <w:r>
        <w:t xml:space="preserve">. It can be seen that, as expected, the reduced metabolism rates derived from the Nolan observations lead to smaller estimates of the external dose/blood level ratio, and also smaller differences related to the route of exposure (ingestion </w:t>
      </w:r>
      <w:proofErr w:type="spellStart"/>
      <w:r>
        <w:t>vs</w:t>
      </w:r>
      <w:proofErr w:type="spellEnd"/>
      <w:r>
        <w:t xml:space="preserve"> inhalation).  This is because, for the central estimate Nolan metabolism rate, the fraction of </w:t>
      </w:r>
      <w:proofErr w:type="spellStart"/>
      <w:r>
        <w:t>chlorpyrifos</w:t>
      </w:r>
      <w:proofErr w:type="spellEnd"/>
      <w:r>
        <w:t xml:space="preserve"> removed from the blood flowing to the liver has been reduced to about 62% (± 1 standard error range =39%-80% assuming central estimate tissue/blood partition coefficients).</w:t>
      </w:r>
    </w:p>
    <w:p w:rsidR="00FE0200" w:rsidRDefault="00FE0200" w:rsidP="00FE0200">
      <w:pPr>
        <w:pStyle w:val="Body2"/>
      </w:pPr>
    </w:p>
    <w:p w:rsidR="00FE0200" w:rsidRDefault="00FE0200" w:rsidP="00FE0200">
      <w:pPr>
        <w:rPr>
          <w:rFonts w:ascii="Times New Roman" w:hAnsi="Times New Roman"/>
          <w:b/>
        </w:rPr>
      </w:pPr>
      <w:r>
        <w:rPr>
          <w:b/>
        </w:rPr>
        <w:br w:type="page"/>
      </w:r>
    </w:p>
    <w:p w:rsidR="00FE0200" w:rsidRDefault="00FE0200" w:rsidP="00FE0200">
      <w:pPr>
        <w:pStyle w:val="Body"/>
        <w:pBdr>
          <w:bottom w:val="single" w:sz="24" w:space="1" w:color="auto"/>
        </w:pBdr>
        <w:jc w:val="center"/>
      </w:pPr>
      <w:r>
        <w:rPr>
          <w:b/>
        </w:rPr>
        <w:lastRenderedPageBreak/>
        <w:t xml:space="preserve">Table </w:t>
      </w:r>
      <w:r w:rsidR="00B33460">
        <w:rPr>
          <w:b/>
        </w:rPr>
        <w:t>S9</w:t>
      </w:r>
      <w:r>
        <w:rPr>
          <w:b/>
        </w:rPr>
        <w:t xml:space="preserve">.  </w:t>
      </w:r>
      <w:r>
        <w:t xml:space="preserve">Expected Consequences of ± 1 Standard Error Variations in Pregnancy-Related Metabolism Rates Inferred from the Nolan et al. (1984) Observations and Tissue/Blood Partition Coefficients for the Low Dose CPF Blood Level to External Dose Conversion Factors for Ingestion </w:t>
      </w:r>
      <w:proofErr w:type="spellStart"/>
      <w:r>
        <w:t>vs</w:t>
      </w:r>
      <w:proofErr w:type="spellEnd"/>
      <w:r>
        <w:t xml:space="preserve"> Inhalation Routes of Exposure</w:t>
      </w:r>
    </w:p>
    <w:tbl>
      <w:tblPr>
        <w:tblW w:w="9300" w:type="dxa"/>
        <w:tblInd w:w="93" w:type="dxa"/>
        <w:tblLayout w:type="fixed"/>
        <w:tblLook w:val="04A0"/>
      </w:tblPr>
      <w:tblGrid>
        <w:gridCol w:w="3705"/>
        <w:gridCol w:w="355"/>
        <w:gridCol w:w="1365"/>
        <w:gridCol w:w="355"/>
        <w:gridCol w:w="1385"/>
        <w:gridCol w:w="355"/>
        <w:gridCol w:w="1425"/>
        <w:gridCol w:w="355"/>
      </w:tblGrid>
      <w:tr w:rsidR="00FE0200" w:rsidRPr="00790A85" w:rsidTr="003C352E">
        <w:trPr>
          <w:trHeight w:val="240"/>
        </w:trPr>
        <w:tc>
          <w:tcPr>
            <w:tcW w:w="4060" w:type="dxa"/>
            <w:gridSpan w:val="2"/>
            <w:tcBorders>
              <w:top w:val="nil"/>
              <w:left w:val="nil"/>
              <w:bottom w:val="single" w:sz="6" w:space="0" w:color="auto"/>
              <w:right w:val="nil"/>
            </w:tcBorders>
            <w:shd w:val="clear" w:color="auto" w:fill="auto"/>
            <w:noWrap/>
            <w:vAlign w:val="bottom"/>
            <w:hideMark/>
          </w:tcPr>
          <w:p w:rsidR="00FE0200" w:rsidRPr="007B7E3F" w:rsidRDefault="00FE0200" w:rsidP="003C352E">
            <w:pPr>
              <w:rPr>
                <w:rFonts w:ascii="Times" w:eastAsia="Times New Roman" w:hAnsi="Times" w:cs="Times New Roman"/>
                <w:b/>
                <w:sz w:val="20"/>
                <w:szCs w:val="20"/>
                <w:lang w:eastAsia="en-US"/>
              </w:rPr>
            </w:pPr>
          </w:p>
        </w:tc>
        <w:tc>
          <w:tcPr>
            <w:tcW w:w="1720" w:type="dxa"/>
            <w:gridSpan w:val="2"/>
            <w:tcBorders>
              <w:top w:val="nil"/>
              <w:left w:val="nil"/>
              <w:bottom w:val="single" w:sz="6" w:space="0" w:color="auto"/>
              <w:right w:val="nil"/>
            </w:tcBorders>
            <w:shd w:val="clear" w:color="auto" w:fill="auto"/>
            <w:noWrap/>
            <w:vAlign w:val="bottom"/>
            <w:hideMark/>
          </w:tcPr>
          <w:p w:rsidR="00FE0200" w:rsidRPr="00790A85" w:rsidRDefault="00FE0200" w:rsidP="003C352E">
            <w:pPr>
              <w:rPr>
                <w:rFonts w:ascii="Times" w:eastAsia="Times New Roman" w:hAnsi="Times" w:cs="Times New Roman"/>
                <w:sz w:val="20"/>
                <w:szCs w:val="20"/>
                <w:lang w:eastAsia="en-US"/>
              </w:rPr>
            </w:pPr>
            <w:r w:rsidRPr="00790A85">
              <w:rPr>
                <w:rFonts w:ascii="Times" w:eastAsia="Times New Roman" w:hAnsi="Times" w:cs="Times New Roman"/>
                <w:sz w:val="20"/>
                <w:szCs w:val="20"/>
                <w:lang w:eastAsia="en-US"/>
              </w:rPr>
              <w:t xml:space="preserve">cent </w:t>
            </w:r>
            <w:proofErr w:type="spellStart"/>
            <w:r w:rsidRPr="00790A85">
              <w:rPr>
                <w:rFonts w:ascii="Times" w:eastAsia="Times New Roman" w:hAnsi="Times" w:cs="Times New Roman"/>
                <w:sz w:val="20"/>
                <w:szCs w:val="20"/>
                <w:lang w:eastAsia="en-US"/>
              </w:rPr>
              <w:t>est</w:t>
            </w:r>
            <w:proofErr w:type="spellEnd"/>
            <w:r w:rsidRPr="00790A85">
              <w:rPr>
                <w:rFonts w:ascii="Times" w:eastAsia="Times New Roman" w:hAnsi="Times" w:cs="Times New Roman"/>
                <w:sz w:val="20"/>
                <w:szCs w:val="20"/>
                <w:lang w:eastAsia="en-US"/>
              </w:rPr>
              <w:t xml:space="preserve"> </w:t>
            </w:r>
            <w:proofErr w:type="spellStart"/>
            <w:r w:rsidRPr="00790A85">
              <w:rPr>
                <w:rFonts w:ascii="Times" w:eastAsia="Times New Roman" w:hAnsi="Times" w:cs="Times New Roman"/>
                <w:sz w:val="20"/>
                <w:szCs w:val="20"/>
                <w:lang w:eastAsia="en-US"/>
              </w:rPr>
              <w:t>metab</w:t>
            </w:r>
            <w:proofErr w:type="spellEnd"/>
            <w:r w:rsidRPr="00790A85">
              <w:rPr>
                <w:rFonts w:ascii="Times" w:eastAsia="Times New Roman" w:hAnsi="Times" w:cs="Times New Roman"/>
                <w:sz w:val="20"/>
                <w:szCs w:val="20"/>
                <w:lang w:eastAsia="en-US"/>
              </w:rPr>
              <w:t xml:space="preserve"> </w:t>
            </w:r>
            <w:proofErr w:type="spellStart"/>
            <w:r w:rsidRPr="00790A85">
              <w:rPr>
                <w:rFonts w:ascii="Times" w:eastAsia="Times New Roman" w:hAnsi="Times" w:cs="Times New Roman"/>
                <w:sz w:val="20"/>
                <w:szCs w:val="20"/>
                <w:lang w:eastAsia="en-US"/>
              </w:rPr>
              <w:t>preg</w:t>
            </w:r>
            <w:proofErr w:type="spellEnd"/>
          </w:p>
        </w:tc>
        <w:tc>
          <w:tcPr>
            <w:tcW w:w="1740" w:type="dxa"/>
            <w:gridSpan w:val="2"/>
            <w:tcBorders>
              <w:top w:val="nil"/>
              <w:left w:val="nil"/>
              <w:bottom w:val="single" w:sz="6" w:space="0" w:color="auto"/>
              <w:right w:val="nil"/>
            </w:tcBorders>
            <w:shd w:val="clear" w:color="auto" w:fill="auto"/>
            <w:noWrap/>
            <w:vAlign w:val="bottom"/>
            <w:hideMark/>
          </w:tcPr>
          <w:p w:rsidR="00FE0200" w:rsidRPr="00790A85" w:rsidRDefault="00FE0200" w:rsidP="003C352E">
            <w:pPr>
              <w:rPr>
                <w:rFonts w:ascii="Times" w:eastAsia="Times New Roman" w:hAnsi="Times" w:cs="Times New Roman"/>
                <w:sz w:val="20"/>
                <w:szCs w:val="20"/>
                <w:lang w:eastAsia="en-US"/>
              </w:rPr>
            </w:pPr>
            <w:r w:rsidRPr="00790A85">
              <w:rPr>
                <w:rFonts w:ascii="Times" w:eastAsia="Times New Roman" w:hAnsi="Times" w:cs="Times New Roman"/>
                <w:sz w:val="20"/>
                <w:szCs w:val="20"/>
                <w:lang w:eastAsia="en-US"/>
              </w:rPr>
              <w:t xml:space="preserve">"-1 SD </w:t>
            </w:r>
            <w:proofErr w:type="spellStart"/>
            <w:r w:rsidRPr="00790A85">
              <w:rPr>
                <w:rFonts w:ascii="Times" w:eastAsia="Times New Roman" w:hAnsi="Times" w:cs="Times New Roman"/>
                <w:sz w:val="20"/>
                <w:szCs w:val="20"/>
                <w:lang w:eastAsia="en-US"/>
              </w:rPr>
              <w:t>metab</w:t>
            </w:r>
            <w:proofErr w:type="spellEnd"/>
            <w:r w:rsidRPr="00790A85">
              <w:rPr>
                <w:rFonts w:ascii="Times" w:eastAsia="Times New Roman" w:hAnsi="Times" w:cs="Times New Roman"/>
                <w:sz w:val="20"/>
                <w:szCs w:val="20"/>
                <w:lang w:eastAsia="en-US"/>
              </w:rPr>
              <w:t xml:space="preserve"> </w:t>
            </w:r>
            <w:proofErr w:type="spellStart"/>
            <w:r w:rsidRPr="00790A85">
              <w:rPr>
                <w:rFonts w:ascii="Times" w:eastAsia="Times New Roman" w:hAnsi="Times" w:cs="Times New Roman"/>
                <w:sz w:val="20"/>
                <w:szCs w:val="20"/>
                <w:lang w:eastAsia="en-US"/>
              </w:rPr>
              <w:t>preg</w:t>
            </w:r>
            <w:proofErr w:type="spellEnd"/>
            <w:r w:rsidRPr="00790A85">
              <w:rPr>
                <w:rFonts w:ascii="Times" w:eastAsia="Times New Roman" w:hAnsi="Times" w:cs="Times New Roman"/>
                <w:sz w:val="20"/>
                <w:szCs w:val="20"/>
                <w:lang w:eastAsia="en-US"/>
              </w:rPr>
              <w:t>"</w:t>
            </w:r>
          </w:p>
        </w:tc>
        <w:tc>
          <w:tcPr>
            <w:tcW w:w="1780" w:type="dxa"/>
            <w:gridSpan w:val="2"/>
            <w:tcBorders>
              <w:top w:val="nil"/>
              <w:left w:val="nil"/>
              <w:bottom w:val="single" w:sz="6" w:space="0" w:color="auto"/>
              <w:right w:val="nil"/>
            </w:tcBorders>
            <w:shd w:val="clear" w:color="auto" w:fill="auto"/>
            <w:noWrap/>
            <w:vAlign w:val="bottom"/>
            <w:hideMark/>
          </w:tcPr>
          <w:p w:rsidR="00FE0200" w:rsidRPr="00790A85" w:rsidRDefault="00FE0200" w:rsidP="003C352E">
            <w:pPr>
              <w:rPr>
                <w:rFonts w:ascii="Times" w:eastAsia="Times New Roman" w:hAnsi="Times" w:cs="Times New Roman"/>
                <w:sz w:val="20"/>
                <w:szCs w:val="20"/>
                <w:lang w:eastAsia="en-US"/>
              </w:rPr>
            </w:pPr>
            <w:r w:rsidRPr="00790A85">
              <w:rPr>
                <w:rFonts w:ascii="Times" w:eastAsia="Times New Roman" w:hAnsi="Times" w:cs="Times New Roman"/>
                <w:sz w:val="20"/>
                <w:szCs w:val="20"/>
                <w:lang w:eastAsia="en-US"/>
              </w:rPr>
              <w:t xml:space="preserve">"+1 SD </w:t>
            </w:r>
            <w:proofErr w:type="spellStart"/>
            <w:r w:rsidRPr="00790A85">
              <w:rPr>
                <w:rFonts w:ascii="Times" w:eastAsia="Times New Roman" w:hAnsi="Times" w:cs="Times New Roman"/>
                <w:sz w:val="20"/>
                <w:szCs w:val="20"/>
                <w:lang w:eastAsia="en-US"/>
              </w:rPr>
              <w:t>metab</w:t>
            </w:r>
            <w:proofErr w:type="spellEnd"/>
            <w:r w:rsidRPr="00790A85">
              <w:rPr>
                <w:rFonts w:ascii="Times" w:eastAsia="Times New Roman" w:hAnsi="Times" w:cs="Times New Roman"/>
                <w:sz w:val="20"/>
                <w:szCs w:val="20"/>
                <w:lang w:eastAsia="en-US"/>
              </w:rPr>
              <w:t xml:space="preserve"> </w:t>
            </w:r>
            <w:proofErr w:type="spellStart"/>
            <w:r w:rsidRPr="00790A85">
              <w:rPr>
                <w:rFonts w:ascii="Times" w:eastAsia="Times New Roman" w:hAnsi="Times" w:cs="Times New Roman"/>
                <w:sz w:val="20"/>
                <w:szCs w:val="20"/>
                <w:lang w:eastAsia="en-US"/>
              </w:rPr>
              <w:t>preg</w:t>
            </w:r>
            <w:proofErr w:type="spellEnd"/>
            <w:r w:rsidRPr="00790A85">
              <w:rPr>
                <w:rFonts w:ascii="Times" w:eastAsia="Times New Roman" w:hAnsi="Times" w:cs="Times New Roman"/>
                <w:sz w:val="20"/>
                <w:szCs w:val="20"/>
                <w:lang w:eastAsia="en-US"/>
              </w:rPr>
              <w:t>"</w:t>
            </w:r>
          </w:p>
        </w:tc>
      </w:tr>
      <w:tr w:rsidR="00FE0200" w:rsidRPr="00790A85" w:rsidTr="003C352E">
        <w:trPr>
          <w:gridAfter w:val="1"/>
          <w:wAfter w:w="355" w:type="dxa"/>
          <w:trHeight w:val="240"/>
        </w:trPr>
        <w:tc>
          <w:tcPr>
            <w:tcW w:w="3705" w:type="dxa"/>
            <w:tcBorders>
              <w:top w:val="nil"/>
              <w:left w:val="nil"/>
              <w:bottom w:val="nil"/>
              <w:right w:val="nil"/>
            </w:tcBorders>
            <w:shd w:val="clear" w:color="auto" w:fill="auto"/>
            <w:noWrap/>
            <w:vAlign w:val="bottom"/>
          </w:tcPr>
          <w:p w:rsidR="00FE0200" w:rsidRPr="00790A85" w:rsidRDefault="00FE0200" w:rsidP="003C352E">
            <w:pPr>
              <w:rPr>
                <w:rFonts w:ascii="Times" w:eastAsia="Times New Roman" w:hAnsi="Times" w:cs="Times New Roman"/>
                <w:sz w:val="20"/>
                <w:szCs w:val="20"/>
                <w:lang w:eastAsia="en-US"/>
              </w:rPr>
            </w:pPr>
            <w:r w:rsidRPr="007B7E3F">
              <w:rPr>
                <w:rFonts w:ascii="Times" w:eastAsia="Times New Roman" w:hAnsi="Times" w:cs="Times New Roman"/>
                <w:b/>
                <w:sz w:val="20"/>
                <w:szCs w:val="20"/>
                <w:lang w:eastAsia="en-US"/>
              </w:rPr>
              <w:t>Baseline partition coefficients</w:t>
            </w:r>
          </w:p>
        </w:tc>
        <w:tc>
          <w:tcPr>
            <w:tcW w:w="1720" w:type="dxa"/>
            <w:gridSpan w:val="2"/>
            <w:tcBorders>
              <w:top w:val="nil"/>
              <w:left w:val="nil"/>
              <w:bottom w:val="nil"/>
              <w:right w:val="nil"/>
            </w:tcBorders>
            <w:shd w:val="clear" w:color="auto" w:fill="auto"/>
            <w:noWrap/>
            <w:vAlign w:val="center"/>
          </w:tcPr>
          <w:p w:rsidR="00FE0200" w:rsidRPr="00E52E3F" w:rsidRDefault="00FE0200" w:rsidP="003C352E">
            <w:pPr>
              <w:jc w:val="cente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center"/>
          </w:tcPr>
          <w:p w:rsidR="00FE0200" w:rsidRPr="00E52E3F" w:rsidRDefault="00FE0200" w:rsidP="003C352E">
            <w:pPr>
              <w:jc w:val="center"/>
              <w:rPr>
                <w:rFonts w:ascii="Times New Roman" w:eastAsia="Times New Roman" w:hAnsi="Times New Roman" w:cs="Times New Roman"/>
                <w:sz w:val="20"/>
                <w:szCs w:val="20"/>
              </w:rPr>
            </w:pPr>
          </w:p>
        </w:tc>
        <w:tc>
          <w:tcPr>
            <w:tcW w:w="1780" w:type="dxa"/>
            <w:gridSpan w:val="2"/>
            <w:tcBorders>
              <w:top w:val="nil"/>
              <w:left w:val="nil"/>
              <w:bottom w:val="nil"/>
              <w:right w:val="nil"/>
            </w:tcBorders>
            <w:shd w:val="clear" w:color="auto" w:fill="auto"/>
            <w:noWrap/>
            <w:vAlign w:val="center"/>
          </w:tcPr>
          <w:p w:rsidR="00FE0200" w:rsidRPr="00E52E3F" w:rsidRDefault="00FE0200" w:rsidP="003C352E">
            <w:pPr>
              <w:jc w:val="center"/>
              <w:rPr>
                <w:rFonts w:ascii="Times New Roman" w:eastAsia="Times New Roman" w:hAnsi="Times New Roman" w:cs="Times New Roman"/>
                <w:sz w:val="20"/>
                <w:szCs w:val="20"/>
              </w:rPr>
            </w:pPr>
          </w:p>
        </w:tc>
      </w:tr>
      <w:tr w:rsidR="00FE0200" w:rsidRPr="00790A85" w:rsidTr="003C352E">
        <w:trPr>
          <w:gridAfter w:val="1"/>
          <w:wAfter w:w="355" w:type="dxa"/>
          <w:trHeight w:val="240"/>
        </w:trPr>
        <w:tc>
          <w:tcPr>
            <w:tcW w:w="3705" w:type="dxa"/>
            <w:tcBorders>
              <w:top w:val="nil"/>
              <w:left w:val="nil"/>
              <w:bottom w:val="nil"/>
              <w:right w:val="nil"/>
            </w:tcBorders>
            <w:shd w:val="clear" w:color="auto" w:fill="auto"/>
            <w:noWrap/>
            <w:vAlign w:val="bottom"/>
            <w:hideMark/>
          </w:tcPr>
          <w:p w:rsidR="00FE0200" w:rsidRPr="00790A85" w:rsidRDefault="00FE0200" w:rsidP="003C352E">
            <w:pPr>
              <w:rPr>
                <w:rFonts w:ascii="Times" w:eastAsia="Times New Roman" w:hAnsi="Times" w:cs="Times New Roman"/>
                <w:sz w:val="20"/>
                <w:szCs w:val="20"/>
                <w:lang w:eastAsia="en-US"/>
              </w:rPr>
            </w:pPr>
            <w:r w:rsidRPr="00790A85">
              <w:rPr>
                <w:rFonts w:ascii="Times" w:eastAsia="Times New Roman" w:hAnsi="Times" w:cs="Times New Roman"/>
                <w:sz w:val="20"/>
                <w:szCs w:val="20"/>
                <w:lang w:eastAsia="en-US"/>
              </w:rPr>
              <w:t>ingestion</w:t>
            </w:r>
          </w:p>
        </w:tc>
        <w:tc>
          <w:tcPr>
            <w:tcW w:w="1720" w:type="dxa"/>
            <w:gridSpan w:val="2"/>
            <w:tcBorders>
              <w:top w:val="nil"/>
              <w:left w:val="nil"/>
              <w:bottom w:val="nil"/>
              <w:right w:val="nil"/>
            </w:tcBorders>
            <w:shd w:val="clear" w:color="auto" w:fill="auto"/>
            <w:noWrap/>
            <w:vAlign w:val="center"/>
            <w:hideMark/>
          </w:tcPr>
          <w:p w:rsidR="00FE0200" w:rsidRPr="00E52E3F" w:rsidRDefault="00FE0200" w:rsidP="003C352E">
            <w:pPr>
              <w:jc w:val="center"/>
              <w:rPr>
                <w:rFonts w:ascii="Times New Roman" w:eastAsia="Times New Roman" w:hAnsi="Times New Roman" w:cs="Times New Roman"/>
                <w:sz w:val="20"/>
                <w:szCs w:val="20"/>
                <w:lang w:eastAsia="en-US"/>
              </w:rPr>
            </w:pPr>
            <w:r w:rsidRPr="00E52E3F">
              <w:rPr>
                <w:rFonts w:ascii="Times New Roman" w:eastAsia="Times New Roman" w:hAnsi="Times New Roman" w:cs="Times New Roman"/>
                <w:sz w:val="20"/>
                <w:szCs w:val="20"/>
              </w:rPr>
              <w:t>45.5</w:t>
            </w:r>
          </w:p>
        </w:tc>
        <w:tc>
          <w:tcPr>
            <w:tcW w:w="1740" w:type="dxa"/>
            <w:gridSpan w:val="2"/>
            <w:tcBorders>
              <w:top w:val="nil"/>
              <w:left w:val="nil"/>
              <w:bottom w:val="nil"/>
              <w:right w:val="nil"/>
            </w:tcBorders>
            <w:shd w:val="clear" w:color="auto" w:fill="auto"/>
            <w:noWrap/>
            <w:vAlign w:val="center"/>
            <w:hideMark/>
          </w:tcPr>
          <w:p w:rsidR="00FE0200" w:rsidRPr="00E52E3F" w:rsidRDefault="00FE0200" w:rsidP="003C352E">
            <w:pPr>
              <w:jc w:val="center"/>
              <w:rPr>
                <w:rFonts w:ascii="Times New Roman" w:eastAsia="Times New Roman" w:hAnsi="Times New Roman" w:cs="Times New Roman"/>
                <w:sz w:val="20"/>
                <w:szCs w:val="20"/>
                <w:lang w:eastAsia="en-US"/>
              </w:rPr>
            </w:pPr>
            <w:r w:rsidRPr="00E52E3F">
              <w:rPr>
                <w:rFonts w:ascii="Times New Roman" w:eastAsia="Times New Roman" w:hAnsi="Times New Roman" w:cs="Times New Roman"/>
                <w:sz w:val="20"/>
                <w:szCs w:val="20"/>
              </w:rPr>
              <w:t>18.6</w:t>
            </w:r>
          </w:p>
        </w:tc>
        <w:tc>
          <w:tcPr>
            <w:tcW w:w="1780" w:type="dxa"/>
            <w:gridSpan w:val="2"/>
            <w:tcBorders>
              <w:top w:val="nil"/>
              <w:left w:val="nil"/>
              <w:bottom w:val="nil"/>
              <w:right w:val="nil"/>
            </w:tcBorders>
            <w:shd w:val="clear" w:color="auto" w:fill="auto"/>
            <w:noWrap/>
            <w:vAlign w:val="center"/>
            <w:hideMark/>
          </w:tcPr>
          <w:p w:rsidR="00FE0200" w:rsidRPr="00E52E3F" w:rsidRDefault="00FE0200" w:rsidP="003C352E">
            <w:pPr>
              <w:jc w:val="center"/>
              <w:rPr>
                <w:rFonts w:ascii="Times New Roman" w:eastAsia="Times New Roman" w:hAnsi="Times New Roman" w:cs="Times New Roman"/>
                <w:sz w:val="20"/>
                <w:szCs w:val="20"/>
                <w:lang w:eastAsia="en-US"/>
              </w:rPr>
            </w:pPr>
            <w:r w:rsidRPr="00E52E3F">
              <w:rPr>
                <w:rFonts w:ascii="Times New Roman" w:eastAsia="Times New Roman" w:hAnsi="Times New Roman" w:cs="Times New Roman"/>
                <w:sz w:val="20"/>
                <w:szCs w:val="20"/>
              </w:rPr>
              <w:t>114.2</w:t>
            </w:r>
          </w:p>
        </w:tc>
      </w:tr>
      <w:tr w:rsidR="00FE0200" w:rsidRPr="00790A85" w:rsidTr="003C352E">
        <w:trPr>
          <w:gridAfter w:val="1"/>
          <w:wAfter w:w="355" w:type="dxa"/>
          <w:trHeight w:val="240"/>
        </w:trPr>
        <w:tc>
          <w:tcPr>
            <w:tcW w:w="3705" w:type="dxa"/>
            <w:tcBorders>
              <w:top w:val="nil"/>
              <w:left w:val="nil"/>
              <w:bottom w:val="nil"/>
              <w:right w:val="nil"/>
            </w:tcBorders>
            <w:shd w:val="clear" w:color="auto" w:fill="auto"/>
            <w:noWrap/>
            <w:vAlign w:val="bottom"/>
            <w:hideMark/>
          </w:tcPr>
          <w:p w:rsidR="00FE0200" w:rsidRPr="00790A85" w:rsidRDefault="00FE0200" w:rsidP="003C352E">
            <w:pPr>
              <w:rPr>
                <w:rFonts w:ascii="Times" w:eastAsia="Times New Roman" w:hAnsi="Times" w:cs="Times New Roman"/>
                <w:sz w:val="20"/>
                <w:szCs w:val="20"/>
                <w:lang w:eastAsia="en-US"/>
              </w:rPr>
            </w:pPr>
            <w:r w:rsidRPr="00790A85">
              <w:rPr>
                <w:rFonts w:ascii="Times" w:eastAsia="Times New Roman" w:hAnsi="Times" w:cs="Times New Roman"/>
                <w:sz w:val="20"/>
                <w:szCs w:val="20"/>
                <w:lang w:eastAsia="en-US"/>
              </w:rPr>
              <w:t>inhalation</w:t>
            </w:r>
          </w:p>
        </w:tc>
        <w:tc>
          <w:tcPr>
            <w:tcW w:w="1720" w:type="dxa"/>
            <w:gridSpan w:val="2"/>
            <w:tcBorders>
              <w:top w:val="nil"/>
              <w:left w:val="nil"/>
              <w:bottom w:val="nil"/>
              <w:right w:val="nil"/>
            </w:tcBorders>
            <w:shd w:val="clear" w:color="auto" w:fill="auto"/>
            <w:noWrap/>
            <w:vAlign w:val="center"/>
            <w:hideMark/>
          </w:tcPr>
          <w:p w:rsidR="00FE0200" w:rsidRPr="00E52E3F" w:rsidRDefault="00FE0200" w:rsidP="003C352E">
            <w:pPr>
              <w:jc w:val="center"/>
              <w:rPr>
                <w:rFonts w:ascii="Times New Roman" w:eastAsia="Times New Roman" w:hAnsi="Times New Roman" w:cs="Times New Roman"/>
                <w:sz w:val="20"/>
                <w:szCs w:val="20"/>
                <w:lang w:eastAsia="en-US"/>
              </w:rPr>
            </w:pPr>
            <w:r w:rsidRPr="00E52E3F">
              <w:rPr>
                <w:rFonts w:ascii="Times New Roman" w:eastAsia="Times New Roman" w:hAnsi="Times New Roman" w:cs="Times New Roman"/>
                <w:sz w:val="20"/>
                <w:szCs w:val="20"/>
              </w:rPr>
              <w:t>19.2</w:t>
            </w:r>
          </w:p>
        </w:tc>
        <w:tc>
          <w:tcPr>
            <w:tcW w:w="1740" w:type="dxa"/>
            <w:gridSpan w:val="2"/>
            <w:tcBorders>
              <w:top w:val="nil"/>
              <w:left w:val="nil"/>
              <w:bottom w:val="nil"/>
              <w:right w:val="nil"/>
            </w:tcBorders>
            <w:shd w:val="clear" w:color="auto" w:fill="auto"/>
            <w:noWrap/>
            <w:vAlign w:val="center"/>
            <w:hideMark/>
          </w:tcPr>
          <w:p w:rsidR="00FE0200" w:rsidRPr="00E52E3F" w:rsidRDefault="00FE0200" w:rsidP="003C352E">
            <w:pPr>
              <w:jc w:val="center"/>
              <w:rPr>
                <w:rFonts w:ascii="Times New Roman" w:eastAsia="Times New Roman" w:hAnsi="Times New Roman" w:cs="Times New Roman"/>
                <w:sz w:val="20"/>
                <w:szCs w:val="20"/>
                <w:lang w:eastAsia="en-US"/>
              </w:rPr>
            </w:pPr>
            <w:r w:rsidRPr="00E52E3F">
              <w:rPr>
                <w:rFonts w:ascii="Times New Roman" w:eastAsia="Times New Roman" w:hAnsi="Times New Roman" w:cs="Times New Roman"/>
                <w:sz w:val="20"/>
                <w:szCs w:val="20"/>
              </w:rPr>
              <w:t>12.1</w:t>
            </w:r>
          </w:p>
        </w:tc>
        <w:tc>
          <w:tcPr>
            <w:tcW w:w="1780" w:type="dxa"/>
            <w:gridSpan w:val="2"/>
            <w:tcBorders>
              <w:top w:val="nil"/>
              <w:left w:val="nil"/>
              <w:bottom w:val="nil"/>
              <w:right w:val="nil"/>
            </w:tcBorders>
            <w:shd w:val="clear" w:color="auto" w:fill="auto"/>
            <w:noWrap/>
            <w:vAlign w:val="center"/>
            <w:hideMark/>
          </w:tcPr>
          <w:p w:rsidR="00FE0200" w:rsidRPr="00E52E3F" w:rsidRDefault="00FE0200" w:rsidP="003C352E">
            <w:pPr>
              <w:jc w:val="center"/>
              <w:rPr>
                <w:rFonts w:ascii="Times New Roman" w:eastAsia="Times New Roman" w:hAnsi="Times New Roman" w:cs="Times New Roman"/>
                <w:sz w:val="20"/>
                <w:szCs w:val="20"/>
                <w:lang w:eastAsia="en-US"/>
              </w:rPr>
            </w:pPr>
            <w:r w:rsidRPr="00E52E3F">
              <w:rPr>
                <w:rFonts w:ascii="Times New Roman" w:eastAsia="Times New Roman" w:hAnsi="Times New Roman" w:cs="Times New Roman"/>
                <w:sz w:val="20"/>
                <w:szCs w:val="20"/>
              </w:rPr>
              <w:t>25.5</w:t>
            </w:r>
          </w:p>
        </w:tc>
      </w:tr>
      <w:tr w:rsidR="00FE0200" w:rsidRPr="00790A85" w:rsidTr="003C352E">
        <w:trPr>
          <w:gridAfter w:val="1"/>
          <w:wAfter w:w="355" w:type="dxa"/>
          <w:trHeight w:val="240"/>
        </w:trPr>
        <w:tc>
          <w:tcPr>
            <w:tcW w:w="3705" w:type="dxa"/>
            <w:tcBorders>
              <w:top w:val="nil"/>
              <w:left w:val="nil"/>
              <w:bottom w:val="nil"/>
              <w:right w:val="nil"/>
            </w:tcBorders>
            <w:shd w:val="clear" w:color="auto" w:fill="auto"/>
            <w:noWrap/>
            <w:vAlign w:val="bottom"/>
            <w:hideMark/>
          </w:tcPr>
          <w:p w:rsidR="00FE0200" w:rsidRPr="00790A85" w:rsidRDefault="00FE0200" w:rsidP="003C352E">
            <w:pPr>
              <w:rPr>
                <w:rFonts w:ascii="Times" w:eastAsia="Times New Roman" w:hAnsi="Times" w:cs="Times New Roman"/>
                <w:sz w:val="20"/>
                <w:szCs w:val="20"/>
                <w:lang w:eastAsia="en-US"/>
              </w:rPr>
            </w:pPr>
            <w:r w:rsidRPr="00790A85">
              <w:rPr>
                <w:rFonts w:ascii="Times" w:eastAsia="Times New Roman" w:hAnsi="Times" w:cs="Times New Roman"/>
                <w:sz w:val="20"/>
                <w:szCs w:val="20"/>
                <w:lang w:eastAsia="en-US"/>
              </w:rPr>
              <w:t>ingestion/inhalation ratio</w:t>
            </w:r>
          </w:p>
        </w:tc>
        <w:tc>
          <w:tcPr>
            <w:tcW w:w="1720" w:type="dxa"/>
            <w:gridSpan w:val="2"/>
            <w:tcBorders>
              <w:top w:val="nil"/>
              <w:left w:val="nil"/>
              <w:bottom w:val="nil"/>
              <w:right w:val="nil"/>
            </w:tcBorders>
            <w:shd w:val="clear" w:color="auto" w:fill="auto"/>
            <w:noWrap/>
            <w:vAlign w:val="center"/>
            <w:hideMark/>
          </w:tcPr>
          <w:p w:rsidR="00FE0200" w:rsidRPr="00E52E3F" w:rsidRDefault="00FE0200" w:rsidP="003C352E">
            <w:pPr>
              <w:jc w:val="center"/>
              <w:rPr>
                <w:rFonts w:ascii="Times New Roman" w:eastAsia="Times New Roman" w:hAnsi="Times New Roman" w:cs="Times New Roman"/>
                <w:sz w:val="20"/>
                <w:szCs w:val="20"/>
                <w:lang w:eastAsia="en-US"/>
              </w:rPr>
            </w:pPr>
            <w:r w:rsidRPr="00E52E3F">
              <w:rPr>
                <w:rFonts w:ascii="Times New Roman" w:eastAsia="Times New Roman" w:hAnsi="Times New Roman" w:cs="Times New Roman"/>
                <w:sz w:val="20"/>
                <w:szCs w:val="20"/>
              </w:rPr>
              <w:t>2.36</w:t>
            </w:r>
          </w:p>
        </w:tc>
        <w:tc>
          <w:tcPr>
            <w:tcW w:w="1740" w:type="dxa"/>
            <w:gridSpan w:val="2"/>
            <w:tcBorders>
              <w:top w:val="nil"/>
              <w:left w:val="nil"/>
              <w:bottom w:val="nil"/>
              <w:right w:val="nil"/>
            </w:tcBorders>
            <w:shd w:val="clear" w:color="auto" w:fill="auto"/>
            <w:noWrap/>
            <w:vAlign w:val="center"/>
            <w:hideMark/>
          </w:tcPr>
          <w:p w:rsidR="00FE0200" w:rsidRPr="00E52E3F" w:rsidRDefault="00FE0200" w:rsidP="003C352E">
            <w:pPr>
              <w:jc w:val="center"/>
              <w:rPr>
                <w:rFonts w:ascii="Times New Roman" w:eastAsia="Times New Roman" w:hAnsi="Times New Roman" w:cs="Times New Roman"/>
                <w:sz w:val="20"/>
                <w:szCs w:val="20"/>
                <w:lang w:eastAsia="en-US"/>
              </w:rPr>
            </w:pPr>
            <w:r w:rsidRPr="00E52E3F">
              <w:rPr>
                <w:rFonts w:ascii="Times New Roman" w:eastAsia="Times New Roman" w:hAnsi="Times New Roman" w:cs="Times New Roman"/>
                <w:sz w:val="20"/>
                <w:szCs w:val="20"/>
              </w:rPr>
              <w:t>1.53</w:t>
            </w:r>
          </w:p>
        </w:tc>
        <w:tc>
          <w:tcPr>
            <w:tcW w:w="1780" w:type="dxa"/>
            <w:gridSpan w:val="2"/>
            <w:tcBorders>
              <w:top w:val="nil"/>
              <w:left w:val="nil"/>
              <w:bottom w:val="nil"/>
              <w:right w:val="nil"/>
            </w:tcBorders>
            <w:shd w:val="clear" w:color="auto" w:fill="auto"/>
            <w:noWrap/>
            <w:vAlign w:val="center"/>
            <w:hideMark/>
          </w:tcPr>
          <w:p w:rsidR="00FE0200" w:rsidRPr="00E52E3F" w:rsidRDefault="00FE0200" w:rsidP="003C352E">
            <w:pPr>
              <w:jc w:val="center"/>
              <w:rPr>
                <w:rFonts w:ascii="Times New Roman" w:eastAsia="Times New Roman" w:hAnsi="Times New Roman" w:cs="Times New Roman"/>
                <w:sz w:val="20"/>
                <w:szCs w:val="20"/>
                <w:lang w:eastAsia="en-US"/>
              </w:rPr>
            </w:pPr>
            <w:r w:rsidRPr="00E52E3F">
              <w:rPr>
                <w:rFonts w:ascii="Times New Roman" w:eastAsia="Times New Roman" w:hAnsi="Times New Roman" w:cs="Times New Roman"/>
                <w:sz w:val="20"/>
                <w:szCs w:val="20"/>
              </w:rPr>
              <w:t>4.48</w:t>
            </w:r>
          </w:p>
        </w:tc>
      </w:tr>
      <w:tr w:rsidR="00FE0200" w:rsidRPr="00790A85" w:rsidTr="003C352E">
        <w:trPr>
          <w:gridAfter w:val="1"/>
          <w:wAfter w:w="355" w:type="dxa"/>
          <w:trHeight w:val="240"/>
        </w:trPr>
        <w:tc>
          <w:tcPr>
            <w:tcW w:w="3705" w:type="dxa"/>
            <w:tcBorders>
              <w:top w:val="nil"/>
              <w:left w:val="nil"/>
              <w:bottom w:val="nil"/>
              <w:right w:val="nil"/>
            </w:tcBorders>
            <w:shd w:val="clear" w:color="auto" w:fill="auto"/>
            <w:noWrap/>
            <w:vAlign w:val="bottom"/>
            <w:hideMark/>
          </w:tcPr>
          <w:p w:rsidR="00FE0200" w:rsidRPr="00790A85" w:rsidRDefault="00FE0200" w:rsidP="003C352E">
            <w:pPr>
              <w:rPr>
                <w:rFonts w:ascii="Times" w:eastAsia="Times New Roman" w:hAnsi="Times" w:cs="Times New Roman"/>
                <w:sz w:val="20"/>
                <w:szCs w:val="20"/>
                <w:lang w:eastAsia="en-US"/>
              </w:rPr>
            </w:pPr>
          </w:p>
        </w:tc>
        <w:tc>
          <w:tcPr>
            <w:tcW w:w="1720" w:type="dxa"/>
            <w:gridSpan w:val="2"/>
            <w:tcBorders>
              <w:top w:val="nil"/>
              <w:left w:val="nil"/>
              <w:bottom w:val="nil"/>
              <w:right w:val="nil"/>
            </w:tcBorders>
            <w:shd w:val="clear" w:color="auto" w:fill="auto"/>
            <w:noWrap/>
            <w:vAlign w:val="bottom"/>
            <w:hideMark/>
          </w:tcPr>
          <w:p w:rsidR="00FE0200" w:rsidRPr="00E52E3F" w:rsidRDefault="00FE0200" w:rsidP="003C352E">
            <w:pPr>
              <w:jc w:val="center"/>
              <w:rPr>
                <w:rFonts w:ascii="Times New Roman" w:eastAsia="Times New Roman" w:hAnsi="Times New Roman" w:cs="Times New Roman"/>
                <w:sz w:val="20"/>
                <w:szCs w:val="20"/>
                <w:lang w:eastAsia="en-US"/>
              </w:rPr>
            </w:pPr>
          </w:p>
        </w:tc>
        <w:tc>
          <w:tcPr>
            <w:tcW w:w="1740" w:type="dxa"/>
            <w:gridSpan w:val="2"/>
            <w:tcBorders>
              <w:top w:val="nil"/>
              <w:left w:val="nil"/>
              <w:bottom w:val="nil"/>
              <w:right w:val="nil"/>
            </w:tcBorders>
            <w:shd w:val="clear" w:color="auto" w:fill="auto"/>
            <w:noWrap/>
            <w:vAlign w:val="bottom"/>
            <w:hideMark/>
          </w:tcPr>
          <w:p w:rsidR="00FE0200" w:rsidRPr="00E52E3F" w:rsidRDefault="00FE0200" w:rsidP="003C352E">
            <w:pPr>
              <w:jc w:val="center"/>
              <w:rPr>
                <w:rFonts w:ascii="Times New Roman" w:eastAsia="Times New Roman" w:hAnsi="Times New Roman" w:cs="Times New Roman"/>
                <w:sz w:val="20"/>
                <w:szCs w:val="20"/>
                <w:lang w:eastAsia="en-US"/>
              </w:rPr>
            </w:pPr>
          </w:p>
        </w:tc>
        <w:tc>
          <w:tcPr>
            <w:tcW w:w="1780" w:type="dxa"/>
            <w:gridSpan w:val="2"/>
            <w:tcBorders>
              <w:top w:val="nil"/>
              <w:left w:val="nil"/>
              <w:bottom w:val="nil"/>
              <w:right w:val="nil"/>
            </w:tcBorders>
            <w:shd w:val="clear" w:color="auto" w:fill="auto"/>
            <w:noWrap/>
            <w:vAlign w:val="bottom"/>
            <w:hideMark/>
          </w:tcPr>
          <w:p w:rsidR="00FE0200" w:rsidRPr="00E52E3F" w:rsidRDefault="00FE0200" w:rsidP="003C352E">
            <w:pPr>
              <w:jc w:val="center"/>
              <w:rPr>
                <w:rFonts w:ascii="Times New Roman" w:eastAsia="Times New Roman" w:hAnsi="Times New Roman" w:cs="Times New Roman"/>
                <w:sz w:val="20"/>
                <w:szCs w:val="20"/>
                <w:lang w:eastAsia="en-US"/>
              </w:rPr>
            </w:pPr>
          </w:p>
        </w:tc>
      </w:tr>
      <w:tr w:rsidR="00FE0200" w:rsidRPr="00790A85" w:rsidTr="003C352E">
        <w:trPr>
          <w:gridAfter w:val="1"/>
          <w:wAfter w:w="355" w:type="dxa"/>
          <w:trHeight w:val="240"/>
        </w:trPr>
        <w:tc>
          <w:tcPr>
            <w:tcW w:w="3705" w:type="dxa"/>
            <w:tcBorders>
              <w:top w:val="nil"/>
              <w:left w:val="nil"/>
              <w:bottom w:val="nil"/>
              <w:right w:val="nil"/>
            </w:tcBorders>
            <w:shd w:val="clear" w:color="auto" w:fill="auto"/>
            <w:noWrap/>
            <w:vAlign w:val="bottom"/>
            <w:hideMark/>
          </w:tcPr>
          <w:p w:rsidR="00FE0200" w:rsidRPr="007B7E3F" w:rsidRDefault="00FE0200" w:rsidP="003C352E">
            <w:pPr>
              <w:rPr>
                <w:rFonts w:ascii="Times" w:eastAsia="Times New Roman" w:hAnsi="Times" w:cs="Times New Roman"/>
                <w:b/>
                <w:sz w:val="20"/>
                <w:szCs w:val="20"/>
                <w:lang w:eastAsia="en-US"/>
              </w:rPr>
            </w:pPr>
            <w:r w:rsidRPr="007B7E3F">
              <w:rPr>
                <w:rFonts w:ascii="Times" w:eastAsia="Times New Roman" w:hAnsi="Times" w:cs="Times New Roman"/>
                <w:b/>
                <w:sz w:val="20"/>
                <w:szCs w:val="20"/>
                <w:lang w:eastAsia="en-US"/>
              </w:rPr>
              <w:t>1 std error low tissue/blood partit</w:t>
            </w:r>
            <w:r>
              <w:rPr>
                <w:rFonts w:ascii="Times" w:eastAsia="Times New Roman" w:hAnsi="Times" w:cs="Times New Roman"/>
                <w:b/>
                <w:sz w:val="20"/>
                <w:szCs w:val="20"/>
                <w:lang w:eastAsia="en-US"/>
              </w:rPr>
              <w:t>i</w:t>
            </w:r>
            <w:r w:rsidRPr="007B7E3F">
              <w:rPr>
                <w:rFonts w:ascii="Times" w:eastAsia="Times New Roman" w:hAnsi="Times" w:cs="Times New Roman"/>
                <w:b/>
                <w:sz w:val="20"/>
                <w:szCs w:val="20"/>
                <w:lang w:eastAsia="en-US"/>
              </w:rPr>
              <w:t>on coefficients</w:t>
            </w:r>
          </w:p>
        </w:tc>
        <w:tc>
          <w:tcPr>
            <w:tcW w:w="1720" w:type="dxa"/>
            <w:gridSpan w:val="2"/>
            <w:tcBorders>
              <w:top w:val="nil"/>
              <w:left w:val="nil"/>
              <w:bottom w:val="nil"/>
              <w:right w:val="nil"/>
            </w:tcBorders>
            <w:shd w:val="clear" w:color="auto" w:fill="auto"/>
            <w:noWrap/>
            <w:vAlign w:val="bottom"/>
            <w:hideMark/>
          </w:tcPr>
          <w:p w:rsidR="00FE0200" w:rsidRPr="00E52E3F" w:rsidRDefault="00FE0200" w:rsidP="003C352E">
            <w:pPr>
              <w:jc w:val="center"/>
              <w:rPr>
                <w:rFonts w:ascii="Times New Roman" w:eastAsia="Times New Roman" w:hAnsi="Times New Roman" w:cs="Times New Roman"/>
                <w:sz w:val="20"/>
                <w:szCs w:val="20"/>
                <w:lang w:eastAsia="en-US"/>
              </w:rPr>
            </w:pPr>
          </w:p>
        </w:tc>
        <w:tc>
          <w:tcPr>
            <w:tcW w:w="1740" w:type="dxa"/>
            <w:gridSpan w:val="2"/>
            <w:tcBorders>
              <w:top w:val="nil"/>
              <w:left w:val="nil"/>
              <w:bottom w:val="nil"/>
              <w:right w:val="nil"/>
            </w:tcBorders>
            <w:shd w:val="clear" w:color="auto" w:fill="auto"/>
            <w:noWrap/>
            <w:vAlign w:val="bottom"/>
            <w:hideMark/>
          </w:tcPr>
          <w:p w:rsidR="00FE0200" w:rsidRPr="00E52E3F" w:rsidRDefault="00FE0200" w:rsidP="003C352E">
            <w:pPr>
              <w:jc w:val="center"/>
              <w:rPr>
                <w:rFonts w:ascii="Times New Roman" w:eastAsia="Times New Roman" w:hAnsi="Times New Roman" w:cs="Times New Roman"/>
                <w:sz w:val="20"/>
                <w:szCs w:val="20"/>
                <w:lang w:eastAsia="en-US"/>
              </w:rPr>
            </w:pPr>
          </w:p>
        </w:tc>
        <w:tc>
          <w:tcPr>
            <w:tcW w:w="1780" w:type="dxa"/>
            <w:gridSpan w:val="2"/>
            <w:tcBorders>
              <w:top w:val="nil"/>
              <w:left w:val="nil"/>
              <w:bottom w:val="nil"/>
              <w:right w:val="nil"/>
            </w:tcBorders>
            <w:shd w:val="clear" w:color="auto" w:fill="auto"/>
            <w:noWrap/>
            <w:vAlign w:val="bottom"/>
            <w:hideMark/>
          </w:tcPr>
          <w:p w:rsidR="00FE0200" w:rsidRPr="00E52E3F" w:rsidRDefault="00FE0200" w:rsidP="003C352E">
            <w:pPr>
              <w:jc w:val="center"/>
              <w:rPr>
                <w:rFonts w:ascii="Times New Roman" w:eastAsia="Times New Roman" w:hAnsi="Times New Roman" w:cs="Times New Roman"/>
                <w:sz w:val="20"/>
                <w:szCs w:val="20"/>
                <w:lang w:eastAsia="en-US"/>
              </w:rPr>
            </w:pPr>
          </w:p>
        </w:tc>
      </w:tr>
      <w:tr w:rsidR="00FE0200" w:rsidRPr="00790A85" w:rsidTr="003C352E">
        <w:trPr>
          <w:gridAfter w:val="1"/>
          <w:wAfter w:w="355" w:type="dxa"/>
          <w:trHeight w:val="240"/>
        </w:trPr>
        <w:tc>
          <w:tcPr>
            <w:tcW w:w="3705" w:type="dxa"/>
            <w:tcBorders>
              <w:top w:val="nil"/>
              <w:left w:val="nil"/>
              <w:bottom w:val="nil"/>
              <w:right w:val="nil"/>
            </w:tcBorders>
            <w:shd w:val="clear" w:color="auto" w:fill="auto"/>
            <w:noWrap/>
            <w:vAlign w:val="bottom"/>
            <w:hideMark/>
          </w:tcPr>
          <w:p w:rsidR="00FE0200" w:rsidRPr="00790A85" w:rsidRDefault="00FE0200" w:rsidP="003C352E">
            <w:pPr>
              <w:rPr>
                <w:rFonts w:ascii="Times" w:eastAsia="Times New Roman" w:hAnsi="Times" w:cs="Times New Roman"/>
                <w:sz w:val="20"/>
                <w:szCs w:val="20"/>
                <w:lang w:eastAsia="en-US"/>
              </w:rPr>
            </w:pPr>
            <w:r w:rsidRPr="00790A85">
              <w:rPr>
                <w:rFonts w:ascii="Times" w:eastAsia="Times New Roman" w:hAnsi="Times" w:cs="Times New Roman"/>
                <w:sz w:val="20"/>
                <w:szCs w:val="20"/>
                <w:lang w:eastAsia="en-US"/>
              </w:rPr>
              <w:t>ingestion</w:t>
            </w:r>
          </w:p>
        </w:tc>
        <w:tc>
          <w:tcPr>
            <w:tcW w:w="1720" w:type="dxa"/>
            <w:gridSpan w:val="2"/>
            <w:tcBorders>
              <w:top w:val="nil"/>
              <w:left w:val="nil"/>
              <w:bottom w:val="nil"/>
              <w:right w:val="nil"/>
            </w:tcBorders>
            <w:shd w:val="clear" w:color="auto" w:fill="auto"/>
            <w:noWrap/>
            <w:vAlign w:val="center"/>
            <w:hideMark/>
          </w:tcPr>
          <w:p w:rsidR="00FE0200" w:rsidRPr="00E52E3F" w:rsidRDefault="00FE0200" w:rsidP="003C352E">
            <w:pPr>
              <w:jc w:val="center"/>
              <w:rPr>
                <w:rFonts w:ascii="Times New Roman" w:eastAsia="Times New Roman" w:hAnsi="Times New Roman" w:cs="Times New Roman"/>
                <w:sz w:val="20"/>
                <w:szCs w:val="20"/>
                <w:lang w:eastAsia="en-US"/>
              </w:rPr>
            </w:pPr>
            <w:r w:rsidRPr="00E52E3F">
              <w:rPr>
                <w:rFonts w:ascii="Times New Roman" w:eastAsia="Times New Roman" w:hAnsi="Times New Roman" w:cs="Times New Roman"/>
                <w:sz w:val="20"/>
                <w:szCs w:val="20"/>
              </w:rPr>
              <w:t>40.1</w:t>
            </w:r>
          </w:p>
        </w:tc>
        <w:tc>
          <w:tcPr>
            <w:tcW w:w="1740" w:type="dxa"/>
            <w:gridSpan w:val="2"/>
            <w:tcBorders>
              <w:top w:val="nil"/>
              <w:left w:val="nil"/>
              <w:bottom w:val="nil"/>
              <w:right w:val="nil"/>
            </w:tcBorders>
            <w:shd w:val="clear" w:color="auto" w:fill="auto"/>
            <w:noWrap/>
            <w:vAlign w:val="center"/>
            <w:hideMark/>
          </w:tcPr>
          <w:p w:rsidR="00FE0200" w:rsidRPr="00E52E3F" w:rsidRDefault="00FE0200" w:rsidP="003C352E">
            <w:pPr>
              <w:jc w:val="center"/>
              <w:rPr>
                <w:rFonts w:ascii="Times New Roman" w:eastAsia="Times New Roman" w:hAnsi="Times New Roman" w:cs="Times New Roman"/>
                <w:sz w:val="20"/>
                <w:szCs w:val="20"/>
                <w:lang w:eastAsia="en-US"/>
              </w:rPr>
            </w:pPr>
            <w:r w:rsidRPr="00E52E3F">
              <w:rPr>
                <w:rFonts w:ascii="Times New Roman" w:eastAsia="Times New Roman" w:hAnsi="Times New Roman" w:cs="Times New Roman"/>
                <w:sz w:val="20"/>
                <w:szCs w:val="20"/>
              </w:rPr>
              <w:t>16.4</w:t>
            </w:r>
          </w:p>
        </w:tc>
        <w:tc>
          <w:tcPr>
            <w:tcW w:w="1780" w:type="dxa"/>
            <w:gridSpan w:val="2"/>
            <w:tcBorders>
              <w:top w:val="nil"/>
              <w:left w:val="nil"/>
              <w:bottom w:val="nil"/>
              <w:right w:val="nil"/>
            </w:tcBorders>
            <w:shd w:val="clear" w:color="auto" w:fill="auto"/>
            <w:noWrap/>
            <w:vAlign w:val="center"/>
            <w:hideMark/>
          </w:tcPr>
          <w:p w:rsidR="00FE0200" w:rsidRPr="00E52E3F" w:rsidRDefault="00FE0200" w:rsidP="003C352E">
            <w:pPr>
              <w:jc w:val="center"/>
              <w:rPr>
                <w:rFonts w:ascii="Times New Roman" w:eastAsia="Times New Roman" w:hAnsi="Times New Roman" w:cs="Times New Roman"/>
                <w:sz w:val="20"/>
                <w:szCs w:val="20"/>
                <w:lang w:eastAsia="en-US"/>
              </w:rPr>
            </w:pPr>
            <w:r w:rsidRPr="00E52E3F">
              <w:rPr>
                <w:rFonts w:ascii="Times New Roman" w:eastAsia="Times New Roman" w:hAnsi="Times New Roman" w:cs="Times New Roman"/>
                <w:sz w:val="20"/>
                <w:szCs w:val="20"/>
              </w:rPr>
              <w:t>100.8</w:t>
            </w:r>
          </w:p>
        </w:tc>
      </w:tr>
      <w:tr w:rsidR="00FE0200" w:rsidRPr="00790A85" w:rsidTr="003C352E">
        <w:trPr>
          <w:gridAfter w:val="1"/>
          <w:wAfter w:w="355" w:type="dxa"/>
          <w:trHeight w:val="240"/>
        </w:trPr>
        <w:tc>
          <w:tcPr>
            <w:tcW w:w="3705" w:type="dxa"/>
            <w:tcBorders>
              <w:top w:val="nil"/>
              <w:left w:val="nil"/>
              <w:bottom w:val="nil"/>
              <w:right w:val="nil"/>
            </w:tcBorders>
            <w:shd w:val="clear" w:color="auto" w:fill="auto"/>
            <w:noWrap/>
            <w:vAlign w:val="bottom"/>
            <w:hideMark/>
          </w:tcPr>
          <w:p w:rsidR="00FE0200" w:rsidRPr="00790A85" w:rsidRDefault="00FE0200" w:rsidP="003C352E">
            <w:pPr>
              <w:rPr>
                <w:rFonts w:ascii="Times" w:eastAsia="Times New Roman" w:hAnsi="Times" w:cs="Times New Roman"/>
                <w:sz w:val="20"/>
                <w:szCs w:val="20"/>
                <w:lang w:eastAsia="en-US"/>
              </w:rPr>
            </w:pPr>
            <w:r w:rsidRPr="00790A85">
              <w:rPr>
                <w:rFonts w:ascii="Times" w:eastAsia="Times New Roman" w:hAnsi="Times" w:cs="Times New Roman"/>
                <w:sz w:val="20"/>
                <w:szCs w:val="20"/>
                <w:lang w:eastAsia="en-US"/>
              </w:rPr>
              <w:t>inhalation</w:t>
            </w:r>
          </w:p>
        </w:tc>
        <w:tc>
          <w:tcPr>
            <w:tcW w:w="1720" w:type="dxa"/>
            <w:gridSpan w:val="2"/>
            <w:tcBorders>
              <w:top w:val="nil"/>
              <w:left w:val="nil"/>
              <w:bottom w:val="nil"/>
              <w:right w:val="nil"/>
            </w:tcBorders>
            <w:shd w:val="clear" w:color="auto" w:fill="auto"/>
            <w:noWrap/>
            <w:vAlign w:val="center"/>
            <w:hideMark/>
          </w:tcPr>
          <w:p w:rsidR="00FE0200" w:rsidRPr="00E52E3F" w:rsidRDefault="00FE0200" w:rsidP="003C352E">
            <w:pPr>
              <w:jc w:val="center"/>
              <w:rPr>
                <w:rFonts w:ascii="Times New Roman" w:eastAsia="Times New Roman" w:hAnsi="Times New Roman" w:cs="Times New Roman"/>
                <w:sz w:val="20"/>
                <w:szCs w:val="20"/>
                <w:lang w:eastAsia="en-US"/>
              </w:rPr>
            </w:pPr>
            <w:r w:rsidRPr="00E52E3F">
              <w:rPr>
                <w:rFonts w:ascii="Times New Roman" w:eastAsia="Times New Roman" w:hAnsi="Times New Roman" w:cs="Times New Roman"/>
                <w:sz w:val="20"/>
                <w:szCs w:val="20"/>
              </w:rPr>
              <w:t>18.1</w:t>
            </w:r>
          </w:p>
        </w:tc>
        <w:tc>
          <w:tcPr>
            <w:tcW w:w="1740" w:type="dxa"/>
            <w:gridSpan w:val="2"/>
            <w:tcBorders>
              <w:top w:val="nil"/>
              <w:left w:val="nil"/>
              <w:bottom w:val="nil"/>
              <w:right w:val="nil"/>
            </w:tcBorders>
            <w:shd w:val="clear" w:color="auto" w:fill="auto"/>
            <w:noWrap/>
            <w:vAlign w:val="center"/>
            <w:hideMark/>
          </w:tcPr>
          <w:p w:rsidR="00FE0200" w:rsidRPr="00E52E3F" w:rsidRDefault="00FE0200" w:rsidP="003C352E">
            <w:pPr>
              <w:jc w:val="center"/>
              <w:rPr>
                <w:rFonts w:ascii="Times New Roman" w:eastAsia="Times New Roman" w:hAnsi="Times New Roman" w:cs="Times New Roman"/>
                <w:sz w:val="20"/>
                <w:szCs w:val="20"/>
                <w:lang w:eastAsia="en-US"/>
              </w:rPr>
            </w:pPr>
            <w:r w:rsidRPr="00E52E3F">
              <w:rPr>
                <w:rFonts w:ascii="Times New Roman" w:eastAsia="Times New Roman" w:hAnsi="Times New Roman" w:cs="Times New Roman"/>
                <w:sz w:val="20"/>
                <w:szCs w:val="20"/>
              </w:rPr>
              <w:t>11.1</w:t>
            </w:r>
          </w:p>
        </w:tc>
        <w:tc>
          <w:tcPr>
            <w:tcW w:w="1780" w:type="dxa"/>
            <w:gridSpan w:val="2"/>
            <w:tcBorders>
              <w:top w:val="nil"/>
              <w:left w:val="nil"/>
              <w:bottom w:val="nil"/>
              <w:right w:val="nil"/>
            </w:tcBorders>
            <w:shd w:val="clear" w:color="auto" w:fill="auto"/>
            <w:noWrap/>
            <w:vAlign w:val="center"/>
            <w:hideMark/>
          </w:tcPr>
          <w:p w:rsidR="00FE0200" w:rsidRPr="00E52E3F" w:rsidRDefault="00FE0200" w:rsidP="003C352E">
            <w:pPr>
              <w:jc w:val="center"/>
              <w:rPr>
                <w:rFonts w:ascii="Times New Roman" w:eastAsia="Times New Roman" w:hAnsi="Times New Roman" w:cs="Times New Roman"/>
                <w:sz w:val="20"/>
                <w:szCs w:val="20"/>
                <w:lang w:eastAsia="en-US"/>
              </w:rPr>
            </w:pPr>
            <w:r w:rsidRPr="00E52E3F">
              <w:rPr>
                <w:rFonts w:ascii="Times New Roman" w:eastAsia="Times New Roman" w:hAnsi="Times New Roman" w:cs="Times New Roman"/>
                <w:sz w:val="20"/>
                <w:szCs w:val="20"/>
              </w:rPr>
              <w:t>24.6</w:t>
            </w:r>
          </w:p>
        </w:tc>
      </w:tr>
      <w:tr w:rsidR="00FE0200" w:rsidRPr="00790A85" w:rsidTr="003C352E">
        <w:trPr>
          <w:gridAfter w:val="1"/>
          <w:wAfter w:w="355" w:type="dxa"/>
          <w:trHeight w:val="240"/>
        </w:trPr>
        <w:tc>
          <w:tcPr>
            <w:tcW w:w="3705" w:type="dxa"/>
            <w:tcBorders>
              <w:top w:val="nil"/>
              <w:left w:val="nil"/>
              <w:bottom w:val="nil"/>
              <w:right w:val="nil"/>
            </w:tcBorders>
            <w:shd w:val="clear" w:color="auto" w:fill="auto"/>
            <w:noWrap/>
            <w:vAlign w:val="bottom"/>
            <w:hideMark/>
          </w:tcPr>
          <w:p w:rsidR="00FE0200" w:rsidRPr="00790A85" w:rsidRDefault="00FE0200" w:rsidP="003C352E">
            <w:pPr>
              <w:rPr>
                <w:rFonts w:ascii="Times" w:eastAsia="Times New Roman" w:hAnsi="Times" w:cs="Times New Roman"/>
                <w:sz w:val="20"/>
                <w:szCs w:val="20"/>
                <w:lang w:eastAsia="en-US"/>
              </w:rPr>
            </w:pPr>
            <w:r w:rsidRPr="00790A85">
              <w:rPr>
                <w:rFonts w:ascii="Times" w:eastAsia="Times New Roman" w:hAnsi="Times" w:cs="Times New Roman"/>
                <w:sz w:val="20"/>
                <w:szCs w:val="20"/>
                <w:lang w:eastAsia="en-US"/>
              </w:rPr>
              <w:t>ingestion/inhalation ratio</w:t>
            </w:r>
          </w:p>
        </w:tc>
        <w:tc>
          <w:tcPr>
            <w:tcW w:w="1720" w:type="dxa"/>
            <w:gridSpan w:val="2"/>
            <w:tcBorders>
              <w:top w:val="nil"/>
              <w:left w:val="nil"/>
              <w:bottom w:val="nil"/>
              <w:right w:val="nil"/>
            </w:tcBorders>
            <w:shd w:val="clear" w:color="auto" w:fill="auto"/>
            <w:noWrap/>
            <w:vAlign w:val="center"/>
            <w:hideMark/>
          </w:tcPr>
          <w:p w:rsidR="00FE0200" w:rsidRPr="00E52E3F" w:rsidRDefault="00FE0200" w:rsidP="003C352E">
            <w:pPr>
              <w:jc w:val="center"/>
              <w:rPr>
                <w:rFonts w:ascii="Times New Roman" w:eastAsia="Times New Roman" w:hAnsi="Times New Roman" w:cs="Times New Roman"/>
                <w:sz w:val="20"/>
                <w:szCs w:val="20"/>
                <w:lang w:eastAsia="en-US"/>
              </w:rPr>
            </w:pPr>
            <w:r w:rsidRPr="00E52E3F">
              <w:rPr>
                <w:rFonts w:ascii="Times New Roman" w:eastAsia="Times New Roman" w:hAnsi="Times New Roman" w:cs="Times New Roman"/>
                <w:sz w:val="20"/>
                <w:szCs w:val="20"/>
              </w:rPr>
              <w:t>2.21</w:t>
            </w:r>
          </w:p>
        </w:tc>
        <w:tc>
          <w:tcPr>
            <w:tcW w:w="1740" w:type="dxa"/>
            <w:gridSpan w:val="2"/>
            <w:tcBorders>
              <w:top w:val="nil"/>
              <w:left w:val="nil"/>
              <w:bottom w:val="nil"/>
              <w:right w:val="nil"/>
            </w:tcBorders>
            <w:shd w:val="clear" w:color="auto" w:fill="auto"/>
            <w:noWrap/>
            <w:vAlign w:val="center"/>
            <w:hideMark/>
          </w:tcPr>
          <w:p w:rsidR="00FE0200" w:rsidRPr="00E52E3F" w:rsidRDefault="00FE0200" w:rsidP="003C352E">
            <w:pPr>
              <w:jc w:val="center"/>
              <w:rPr>
                <w:rFonts w:ascii="Times New Roman" w:eastAsia="Times New Roman" w:hAnsi="Times New Roman" w:cs="Times New Roman"/>
                <w:sz w:val="20"/>
                <w:szCs w:val="20"/>
                <w:lang w:eastAsia="en-US"/>
              </w:rPr>
            </w:pPr>
            <w:r w:rsidRPr="00E52E3F">
              <w:rPr>
                <w:rFonts w:ascii="Times New Roman" w:eastAsia="Times New Roman" w:hAnsi="Times New Roman" w:cs="Times New Roman"/>
                <w:sz w:val="20"/>
                <w:szCs w:val="20"/>
              </w:rPr>
              <w:t>1.47</w:t>
            </w:r>
          </w:p>
        </w:tc>
        <w:tc>
          <w:tcPr>
            <w:tcW w:w="1780" w:type="dxa"/>
            <w:gridSpan w:val="2"/>
            <w:tcBorders>
              <w:top w:val="nil"/>
              <w:left w:val="nil"/>
              <w:bottom w:val="nil"/>
              <w:right w:val="nil"/>
            </w:tcBorders>
            <w:shd w:val="clear" w:color="auto" w:fill="auto"/>
            <w:noWrap/>
            <w:vAlign w:val="center"/>
            <w:hideMark/>
          </w:tcPr>
          <w:p w:rsidR="00FE0200" w:rsidRPr="00E52E3F" w:rsidRDefault="00FE0200" w:rsidP="003C352E">
            <w:pPr>
              <w:jc w:val="center"/>
              <w:rPr>
                <w:rFonts w:ascii="Times New Roman" w:eastAsia="Times New Roman" w:hAnsi="Times New Roman" w:cs="Times New Roman"/>
                <w:sz w:val="20"/>
                <w:szCs w:val="20"/>
                <w:lang w:eastAsia="en-US"/>
              </w:rPr>
            </w:pPr>
            <w:r w:rsidRPr="00E52E3F">
              <w:rPr>
                <w:rFonts w:ascii="Times New Roman" w:eastAsia="Times New Roman" w:hAnsi="Times New Roman" w:cs="Times New Roman"/>
                <w:sz w:val="20"/>
                <w:szCs w:val="20"/>
              </w:rPr>
              <w:t>4.10</w:t>
            </w:r>
          </w:p>
        </w:tc>
      </w:tr>
      <w:tr w:rsidR="00FE0200" w:rsidRPr="00790A85" w:rsidTr="003C352E">
        <w:trPr>
          <w:gridAfter w:val="1"/>
          <w:wAfter w:w="355" w:type="dxa"/>
          <w:trHeight w:val="240"/>
        </w:trPr>
        <w:tc>
          <w:tcPr>
            <w:tcW w:w="3705" w:type="dxa"/>
            <w:tcBorders>
              <w:top w:val="nil"/>
              <w:left w:val="nil"/>
              <w:bottom w:val="nil"/>
              <w:right w:val="nil"/>
            </w:tcBorders>
            <w:shd w:val="clear" w:color="auto" w:fill="auto"/>
            <w:noWrap/>
            <w:vAlign w:val="bottom"/>
            <w:hideMark/>
          </w:tcPr>
          <w:p w:rsidR="00FE0200" w:rsidRPr="00790A85" w:rsidRDefault="00FE0200" w:rsidP="003C352E">
            <w:pPr>
              <w:rPr>
                <w:rFonts w:ascii="Times" w:eastAsia="Times New Roman" w:hAnsi="Times" w:cs="Times New Roman"/>
                <w:sz w:val="20"/>
                <w:szCs w:val="20"/>
                <w:lang w:eastAsia="en-US"/>
              </w:rPr>
            </w:pPr>
          </w:p>
        </w:tc>
        <w:tc>
          <w:tcPr>
            <w:tcW w:w="1720" w:type="dxa"/>
            <w:gridSpan w:val="2"/>
            <w:tcBorders>
              <w:top w:val="nil"/>
              <w:left w:val="nil"/>
              <w:bottom w:val="nil"/>
              <w:right w:val="nil"/>
            </w:tcBorders>
            <w:shd w:val="clear" w:color="auto" w:fill="auto"/>
            <w:noWrap/>
            <w:vAlign w:val="bottom"/>
            <w:hideMark/>
          </w:tcPr>
          <w:p w:rsidR="00FE0200" w:rsidRPr="00E52E3F" w:rsidRDefault="00FE0200" w:rsidP="003C352E">
            <w:pPr>
              <w:jc w:val="center"/>
              <w:rPr>
                <w:rFonts w:ascii="Times New Roman" w:eastAsia="Times New Roman" w:hAnsi="Times New Roman" w:cs="Times New Roman"/>
                <w:sz w:val="20"/>
                <w:szCs w:val="20"/>
                <w:lang w:eastAsia="en-US"/>
              </w:rPr>
            </w:pPr>
          </w:p>
        </w:tc>
        <w:tc>
          <w:tcPr>
            <w:tcW w:w="1740" w:type="dxa"/>
            <w:gridSpan w:val="2"/>
            <w:tcBorders>
              <w:top w:val="nil"/>
              <w:left w:val="nil"/>
              <w:bottom w:val="nil"/>
              <w:right w:val="nil"/>
            </w:tcBorders>
            <w:shd w:val="clear" w:color="auto" w:fill="auto"/>
            <w:noWrap/>
            <w:vAlign w:val="bottom"/>
            <w:hideMark/>
          </w:tcPr>
          <w:p w:rsidR="00FE0200" w:rsidRPr="00E52E3F" w:rsidRDefault="00FE0200" w:rsidP="003C352E">
            <w:pPr>
              <w:jc w:val="center"/>
              <w:rPr>
                <w:rFonts w:ascii="Times New Roman" w:eastAsia="Times New Roman" w:hAnsi="Times New Roman" w:cs="Times New Roman"/>
                <w:sz w:val="20"/>
                <w:szCs w:val="20"/>
                <w:lang w:eastAsia="en-US"/>
              </w:rPr>
            </w:pPr>
          </w:p>
        </w:tc>
        <w:tc>
          <w:tcPr>
            <w:tcW w:w="1780" w:type="dxa"/>
            <w:gridSpan w:val="2"/>
            <w:tcBorders>
              <w:top w:val="nil"/>
              <w:left w:val="nil"/>
              <w:bottom w:val="nil"/>
              <w:right w:val="nil"/>
            </w:tcBorders>
            <w:shd w:val="clear" w:color="auto" w:fill="auto"/>
            <w:noWrap/>
            <w:vAlign w:val="bottom"/>
            <w:hideMark/>
          </w:tcPr>
          <w:p w:rsidR="00FE0200" w:rsidRPr="00E52E3F" w:rsidRDefault="00FE0200" w:rsidP="003C352E">
            <w:pPr>
              <w:jc w:val="center"/>
              <w:rPr>
                <w:rFonts w:ascii="Times New Roman" w:eastAsia="Times New Roman" w:hAnsi="Times New Roman" w:cs="Times New Roman"/>
                <w:sz w:val="20"/>
                <w:szCs w:val="20"/>
                <w:lang w:eastAsia="en-US"/>
              </w:rPr>
            </w:pPr>
          </w:p>
        </w:tc>
      </w:tr>
      <w:tr w:rsidR="00FE0200" w:rsidRPr="00790A85" w:rsidTr="003C352E">
        <w:trPr>
          <w:gridAfter w:val="1"/>
          <w:wAfter w:w="355" w:type="dxa"/>
          <w:trHeight w:val="240"/>
        </w:trPr>
        <w:tc>
          <w:tcPr>
            <w:tcW w:w="3705" w:type="dxa"/>
            <w:tcBorders>
              <w:top w:val="nil"/>
              <w:left w:val="nil"/>
              <w:bottom w:val="nil"/>
              <w:right w:val="nil"/>
            </w:tcBorders>
            <w:shd w:val="clear" w:color="auto" w:fill="auto"/>
            <w:noWrap/>
            <w:vAlign w:val="bottom"/>
            <w:hideMark/>
          </w:tcPr>
          <w:p w:rsidR="00FE0200" w:rsidRPr="007B7E3F" w:rsidRDefault="00FE0200" w:rsidP="003C352E">
            <w:pPr>
              <w:rPr>
                <w:rFonts w:ascii="Times" w:eastAsia="Times New Roman" w:hAnsi="Times" w:cs="Times New Roman"/>
                <w:b/>
                <w:sz w:val="20"/>
                <w:szCs w:val="20"/>
                <w:lang w:eastAsia="en-US"/>
              </w:rPr>
            </w:pPr>
            <w:r w:rsidRPr="007B7E3F">
              <w:rPr>
                <w:rFonts w:ascii="Times" w:eastAsia="Times New Roman" w:hAnsi="Times" w:cs="Times New Roman"/>
                <w:b/>
                <w:sz w:val="20"/>
                <w:szCs w:val="20"/>
                <w:lang w:eastAsia="en-US"/>
              </w:rPr>
              <w:t>1 std error high tissue/blood partition coefficients</w:t>
            </w:r>
          </w:p>
        </w:tc>
        <w:tc>
          <w:tcPr>
            <w:tcW w:w="1720" w:type="dxa"/>
            <w:gridSpan w:val="2"/>
            <w:tcBorders>
              <w:top w:val="nil"/>
              <w:left w:val="nil"/>
              <w:bottom w:val="nil"/>
              <w:right w:val="nil"/>
            </w:tcBorders>
            <w:shd w:val="clear" w:color="auto" w:fill="auto"/>
            <w:noWrap/>
            <w:vAlign w:val="bottom"/>
            <w:hideMark/>
          </w:tcPr>
          <w:p w:rsidR="00FE0200" w:rsidRPr="00E52E3F" w:rsidRDefault="00FE0200" w:rsidP="003C352E">
            <w:pPr>
              <w:jc w:val="center"/>
              <w:rPr>
                <w:rFonts w:ascii="Times New Roman" w:eastAsia="Times New Roman" w:hAnsi="Times New Roman" w:cs="Times New Roman"/>
                <w:sz w:val="20"/>
                <w:szCs w:val="20"/>
                <w:lang w:eastAsia="en-US"/>
              </w:rPr>
            </w:pPr>
          </w:p>
        </w:tc>
        <w:tc>
          <w:tcPr>
            <w:tcW w:w="1740" w:type="dxa"/>
            <w:gridSpan w:val="2"/>
            <w:tcBorders>
              <w:top w:val="nil"/>
              <w:left w:val="nil"/>
              <w:bottom w:val="nil"/>
              <w:right w:val="nil"/>
            </w:tcBorders>
            <w:shd w:val="clear" w:color="auto" w:fill="auto"/>
            <w:noWrap/>
            <w:vAlign w:val="bottom"/>
            <w:hideMark/>
          </w:tcPr>
          <w:p w:rsidR="00FE0200" w:rsidRPr="00E52E3F" w:rsidRDefault="00FE0200" w:rsidP="003C352E">
            <w:pPr>
              <w:jc w:val="center"/>
              <w:rPr>
                <w:rFonts w:ascii="Times New Roman" w:eastAsia="Times New Roman" w:hAnsi="Times New Roman" w:cs="Times New Roman"/>
                <w:sz w:val="20"/>
                <w:szCs w:val="20"/>
                <w:lang w:eastAsia="en-US"/>
              </w:rPr>
            </w:pPr>
          </w:p>
        </w:tc>
        <w:tc>
          <w:tcPr>
            <w:tcW w:w="1780" w:type="dxa"/>
            <w:gridSpan w:val="2"/>
            <w:tcBorders>
              <w:top w:val="nil"/>
              <w:left w:val="nil"/>
              <w:bottom w:val="nil"/>
              <w:right w:val="nil"/>
            </w:tcBorders>
            <w:shd w:val="clear" w:color="auto" w:fill="auto"/>
            <w:noWrap/>
            <w:vAlign w:val="bottom"/>
            <w:hideMark/>
          </w:tcPr>
          <w:p w:rsidR="00FE0200" w:rsidRPr="00E52E3F" w:rsidRDefault="00FE0200" w:rsidP="003C352E">
            <w:pPr>
              <w:jc w:val="center"/>
              <w:rPr>
                <w:rFonts w:ascii="Times New Roman" w:eastAsia="Times New Roman" w:hAnsi="Times New Roman" w:cs="Times New Roman"/>
                <w:sz w:val="20"/>
                <w:szCs w:val="20"/>
                <w:lang w:eastAsia="en-US"/>
              </w:rPr>
            </w:pPr>
          </w:p>
        </w:tc>
      </w:tr>
      <w:tr w:rsidR="00FE0200" w:rsidRPr="00790A85" w:rsidTr="003C352E">
        <w:trPr>
          <w:gridAfter w:val="1"/>
          <w:wAfter w:w="355" w:type="dxa"/>
          <w:trHeight w:val="240"/>
        </w:trPr>
        <w:tc>
          <w:tcPr>
            <w:tcW w:w="3705" w:type="dxa"/>
            <w:tcBorders>
              <w:top w:val="nil"/>
              <w:left w:val="nil"/>
              <w:bottom w:val="nil"/>
              <w:right w:val="nil"/>
            </w:tcBorders>
            <w:shd w:val="clear" w:color="auto" w:fill="auto"/>
            <w:noWrap/>
            <w:vAlign w:val="bottom"/>
            <w:hideMark/>
          </w:tcPr>
          <w:p w:rsidR="00FE0200" w:rsidRPr="00790A85" w:rsidRDefault="00FE0200" w:rsidP="003C352E">
            <w:pPr>
              <w:rPr>
                <w:rFonts w:ascii="Times" w:eastAsia="Times New Roman" w:hAnsi="Times" w:cs="Times New Roman"/>
                <w:sz w:val="20"/>
                <w:szCs w:val="20"/>
                <w:lang w:eastAsia="en-US"/>
              </w:rPr>
            </w:pPr>
            <w:r w:rsidRPr="00790A85">
              <w:rPr>
                <w:rFonts w:ascii="Times" w:eastAsia="Times New Roman" w:hAnsi="Times" w:cs="Times New Roman"/>
                <w:sz w:val="20"/>
                <w:szCs w:val="20"/>
                <w:lang w:eastAsia="en-US"/>
              </w:rPr>
              <w:t>ingestion</w:t>
            </w:r>
          </w:p>
        </w:tc>
        <w:tc>
          <w:tcPr>
            <w:tcW w:w="1720" w:type="dxa"/>
            <w:gridSpan w:val="2"/>
            <w:tcBorders>
              <w:top w:val="nil"/>
              <w:left w:val="nil"/>
              <w:bottom w:val="nil"/>
              <w:right w:val="nil"/>
            </w:tcBorders>
            <w:shd w:val="clear" w:color="auto" w:fill="auto"/>
            <w:noWrap/>
            <w:vAlign w:val="center"/>
            <w:hideMark/>
          </w:tcPr>
          <w:p w:rsidR="00FE0200" w:rsidRPr="00E52E3F" w:rsidRDefault="00FE0200" w:rsidP="003C352E">
            <w:pPr>
              <w:jc w:val="center"/>
              <w:rPr>
                <w:rFonts w:ascii="Times New Roman" w:eastAsia="Times New Roman" w:hAnsi="Times New Roman" w:cs="Times New Roman"/>
                <w:sz w:val="20"/>
                <w:szCs w:val="20"/>
                <w:lang w:eastAsia="en-US"/>
              </w:rPr>
            </w:pPr>
            <w:r w:rsidRPr="00E52E3F">
              <w:rPr>
                <w:rFonts w:ascii="Times New Roman" w:eastAsia="Times New Roman" w:hAnsi="Times New Roman" w:cs="Times New Roman"/>
                <w:sz w:val="20"/>
                <w:szCs w:val="20"/>
              </w:rPr>
              <w:t>50.9</w:t>
            </w:r>
          </w:p>
        </w:tc>
        <w:tc>
          <w:tcPr>
            <w:tcW w:w="1740" w:type="dxa"/>
            <w:gridSpan w:val="2"/>
            <w:tcBorders>
              <w:top w:val="nil"/>
              <w:left w:val="nil"/>
              <w:bottom w:val="nil"/>
              <w:right w:val="nil"/>
            </w:tcBorders>
            <w:shd w:val="clear" w:color="auto" w:fill="auto"/>
            <w:noWrap/>
            <w:vAlign w:val="center"/>
            <w:hideMark/>
          </w:tcPr>
          <w:p w:rsidR="00FE0200" w:rsidRPr="00E52E3F" w:rsidRDefault="00FE0200" w:rsidP="003C352E">
            <w:pPr>
              <w:jc w:val="center"/>
              <w:rPr>
                <w:rFonts w:ascii="Times New Roman" w:eastAsia="Times New Roman" w:hAnsi="Times New Roman" w:cs="Times New Roman"/>
                <w:sz w:val="20"/>
                <w:szCs w:val="20"/>
                <w:lang w:eastAsia="en-US"/>
              </w:rPr>
            </w:pPr>
            <w:r w:rsidRPr="00E52E3F">
              <w:rPr>
                <w:rFonts w:ascii="Times New Roman" w:eastAsia="Times New Roman" w:hAnsi="Times New Roman" w:cs="Times New Roman"/>
                <w:sz w:val="20"/>
                <w:szCs w:val="20"/>
              </w:rPr>
              <w:t>20.8</w:t>
            </w:r>
          </w:p>
        </w:tc>
        <w:tc>
          <w:tcPr>
            <w:tcW w:w="1780" w:type="dxa"/>
            <w:gridSpan w:val="2"/>
            <w:tcBorders>
              <w:top w:val="nil"/>
              <w:left w:val="nil"/>
              <w:bottom w:val="nil"/>
              <w:right w:val="nil"/>
            </w:tcBorders>
            <w:shd w:val="clear" w:color="auto" w:fill="auto"/>
            <w:noWrap/>
            <w:vAlign w:val="center"/>
            <w:hideMark/>
          </w:tcPr>
          <w:p w:rsidR="00FE0200" w:rsidRPr="00E52E3F" w:rsidRDefault="00FE0200" w:rsidP="003C352E">
            <w:pPr>
              <w:jc w:val="center"/>
              <w:rPr>
                <w:rFonts w:ascii="Times New Roman" w:eastAsia="Times New Roman" w:hAnsi="Times New Roman" w:cs="Times New Roman"/>
                <w:sz w:val="20"/>
                <w:szCs w:val="20"/>
                <w:lang w:eastAsia="en-US"/>
              </w:rPr>
            </w:pPr>
            <w:r w:rsidRPr="00E52E3F">
              <w:rPr>
                <w:rFonts w:ascii="Times New Roman" w:eastAsia="Times New Roman" w:hAnsi="Times New Roman" w:cs="Times New Roman"/>
                <w:sz w:val="20"/>
                <w:szCs w:val="20"/>
              </w:rPr>
              <w:t>127.7</w:t>
            </w:r>
          </w:p>
        </w:tc>
      </w:tr>
      <w:tr w:rsidR="00FE0200" w:rsidRPr="00790A85" w:rsidTr="003C352E">
        <w:trPr>
          <w:gridAfter w:val="1"/>
          <w:wAfter w:w="355" w:type="dxa"/>
          <w:trHeight w:val="240"/>
        </w:trPr>
        <w:tc>
          <w:tcPr>
            <w:tcW w:w="3705" w:type="dxa"/>
            <w:tcBorders>
              <w:top w:val="nil"/>
              <w:left w:val="nil"/>
              <w:bottom w:val="nil"/>
              <w:right w:val="nil"/>
            </w:tcBorders>
            <w:shd w:val="clear" w:color="auto" w:fill="auto"/>
            <w:noWrap/>
            <w:vAlign w:val="bottom"/>
            <w:hideMark/>
          </w:tcPr>
          <w:p w:rsidR="00FE0200" w:rsidRPr="00790A85" w:rsidRDefault="00FE0200" w:rsidP="003C352E">
            <w:pPr>
              <w:rPr>
                <w:rFonts w:ascii="Times" w:eastAsia="Times New Roman" w:hAnsi="Times" w:cs="Times New Roman"/>
                <w:sz w:val="20"/>
                <w:szCs w:val="20"/>
                <w:lang w:eastAsia="en-US"/>
              </w:rPr>
            </w:pPr>
            <w:r w:rsidRPr="00790A85">
              <w:rPr>
                <w:rFonts w:ascii="Times" w:eastAsia="Times New Roman" w:hAnsi="Times" w:cs="Times New Roman"/>
                <w:sz w:val="20"/>
                <w:szCs w:val="20"/>
                <w:lang w:eastAsia="en-US"/>
              </w:rPr>
              <w:t>inhalation</w:t>
            </w:r>
          </w:p>
        </w:tc>
        <w:tc>
          <w:tcPr>
            <w:tcW w:w="1720" w:type="dxa"/>
            <w:gridSpan w:val="2"/>
            <w:tcBorders>
              <w:top w:val="nil"/>
              <w:left w:val="nil"/>
              <w:bottom w:val="nil"/>
              <w:right w:val="nil"/>
            </w:tcBorders>
            <w:shd w:val="clear" w:color="auto" w:fill="auto"/>
            <w:noWrap/>
            <w:vAlign w:val="center"/>
            <w:hideMark/>
          </w:tcPr>
          <w:p w:rsidR="00FE0200" w:rsidRPr="00E52E3F" w:rsidRDefault="00FE0200" w:rsidP="003C352E">
            <w:pPr>
              <w:jc w:val="center"/>
              <w:rPr>
                <w:rFonts w:ascii="Times New Roman" w:eastAsia="Times New Roman" w:hAnsi="Times New Roman" w:cs="Times New Roman"/>
                <w:sz w:val="20"/>
                <w:szCs w:val="20"/>
                <w:lang w:eastAsia="en-US"/>
              </w:rPr>
            </w:pPr>
            <w:r w:rsidRPr="00E52E3F">
              <w:rPr>
                <w:rFonts w:ascii="Times New Roman" w:eastAsia="Times New Roman" w:hAnsi="Times New Roman" w:cs="Times New Roman"/>
                <w:sz w:val="20"/>
                <w:szCs w:val="20"/>
              </w:rPr>
              <w:t>20.2</w:t>
            </w:r>
          </w:p>
        </w:tc>
        <w:tc>
          <w:tcPr>
            <w:tcW w:w="1740" w:type="dxa"/>
            <w:gridSpan w:val="2"/>
            <w:tcBorders>
              <w:top w:val="nil"/>
              <w:left w:val="nil"/>
              <w:bottom w:val="nil"/>
              <w:right w:val="nil"/>
            </w:tcBorders>
            <w:shd w:val="clear" w:color="auto" w:fill="auto"/>
            <w:noWrap/>
            <w:vAlign w:val="center"/>
            <w:hideMark/>
          </w:tcPr>
          <w:p w:rsidR="00FE0200" w:rsidRPr="00E52E3F" w:rsidRDefault="00FE0200" w:rsidP="003C352E">
            <w:pPr>
              <w:jc w:val="center"/>
              <w:rPr>
                <w:rFonts w:ascii="Times New Roman" w:eastAsia="Times New Roman" w:hAnsi="Times New Roman" w:cs="Times New Roman"/>
                <w:sz w:val="20"/>
                <w:szCs w:val="20"/>
                <w:lang w:eastAsia="en-US"/>
              </w:rPr>
            </w:pPr>
            <w:r w:rsidRPr="00E52E3F">
              <w:rPr>
                <w:rFonts w:ascii="Times New Roman" w:eastAsia="Times New Roman" w:hAnsi="Times New Roman" w:cs="Times New Roman"/>
                <w:sz w:val="20"/>
                <w:szCs w:val="20"/>
              </w:rPr>
              <w:t>13.1</w:t>
            </w:r>
          </w:p>
        </w:tc>
        <w:tc>
          <w:tcPr>
            <w:tcW w:w="1780" w:type="dxa"/>
            <w:gridSpan w:val="2"/>
            <w:tcBorders>
              <w:top w:val="nil"/>
              <w:left w:val="nil"/>
              <w:bottom w:val="nil"/>
              <w:right w:val="nil"/>
            </w:tcBorders>
            <w:shd w:val="clear" w:color="auto" w:fill="auto"/>
            <w:noWrap/>
            <w:vAlign w:val="center"/>
            <w:hideMark/>
          </w:tcPr>
          <w:p w:rsidR="00FE0200" w:rsidRPr="00E52E3F" w:rsidRDefault="00FE0200" w:rsidP="003C352E">
            <w:pPr>
              <w:jc w:val="center"/>
              <w:rPr>
                <w:rFonts w:ascii="Times New Roman" w:eastAsia="Times New Roman" w:hAnsi="Times New Roman" w:cs="Times New Roman"/>
                <w:sz w:val="20"/>
                <w:szCs w:val="20"/>
                <w:lang w:eastAsia="en-US"/>
              </w:rPr>
            </w:pPr>
            <w:r w:rsidRPr="00E52E3F">
              <w:rPr>
                <w:rFonts w:ascii="Times New Roman" w:eastAsia="Times New Roman" w:hAnsi="Times New Roman" w:cs="Times New Roman"/>
                <w:sz w:val="20"/>
                <w:szCs w:val="20"/>
              </w:rPr>
              <w:t>26.3</w:t>
            </w:r>
          </w:p>
        </w:tc>
      </w:tr>
      <w:tr w:rsidR="00FE0200" w:rsidRPr="00790A85" w:rsidTr="003C352E">
        <w:trPr>
          <w:gridAfter w:val="1"/>
          <w:wAfter w:w="355" w:type="dxa"/>
          <w:trHeight w:val="240"/>
        </w:trPr>
        <w:tc>
          <w:tcPr>
            <w:tcW w:w="3705" w:type="dxa"/>
            <w:tcBorders>
              <w:top w:val="nil"/>
              <w:left w:val="nil"/>
              <w:bottom w:val="nil"/>
              <w:right w:val="nil"/>
            </w:tcBorders>
            <w:shd w:val="clear" w:color="auto" w:fill="auto"/>
            <w:noWrap/>
            <w:vAlign w:val="bottom"/>
            <w:hideMark/>
          </w:tcPr>
          <w:p w:rsidR="00FE0200" w:rsidRPr="00790A85" w:rsidRDefault="00FE0200" w:rsidP="003C352E">
            <w:pPr>
              <w:rPr>
                <w:rFonts w:ascii="Times" w:eastAsia="Times New Roman" w:hAnsi="Times" w:cs="Times New Roman"/>
                <w:sz w:val="20"/>
                <w:szCs w:val="20"/>
                <w:lang w:eastAsia="en-US"/>
              </w:rPr>
            </w:pPr>
            <w:r w:rsidRPr="00790A85">
              <w:rPr>
                <w:rFonts w:ascii="Times" w:eastAsia="Times New Roman" w:hAnsi="Times" w:cs="Times New Roman"/>
                <w:sz w:val="20"/>
                <w:szCs w:val="20"/>
                <w:lang w:eastAsia="en-US"/>
              </w:rPr>
              <w:t>ingestion/inhalation ratio</w:t>
            </w:r>
          </w:p>
        </w:tc>
        <w:tc>
          <w:tcPr>
            <w:tcW w:w="1720" w:type="dxa"/>
            <w:gridSpan w:val="2"/>
            <w:tcBorders>
              <w:top w:val="nil"/>
              <w:left w:val="nil"/>
              <w:bottom w:val="nil"/>
              <w:right w:val="nil"/>
            </w:tcBorders>
            <w:shd w:val="clear" w:color="auto" w:fill="auto"/>
            <w:noWrap/>
            <w:vAlign w:val="center"/>
            <w:hideMark/>
          </w:tcPr>
          <w:p w:rsidR="00FE0200" w:rsidRPr="00E52E3F" w:rsidRDefault="00FE0200" w:rsidP="003C352E">
            <w:pPr>
              <w:jc w:val="center"/>
              <w:rPr>
                <w:rFonts w:ascii="Times New Roman" w:eastAsia="Times New Roman" w:hAnsi="Times New Roman" w:cs="Times New Roman"/>
                <w:sz w:val="20"/>
                <w:szCs w:val="20"/>
                <w:lang w:eastAsia="en-US"/>
              </w:rPr>
            </w:pPr>
            <w:r w:rsidRPr="00E52E3F">
              <w:rPr>
                <w:rFonts w:ascii="Times New Roman" w:eastAsia="Times New Roman" w:hAnsi="Times New Roman" w:cs="Times New Roman"/>
                <w:sz w:val="20"/>
                <w:szCs w:val="20"/>
              </w:rPr>
              <w:t>2.51</w:t>
            </w:r>
          </w:p>
        </w:tc>
        <w:tc>
          <w:tcPr>
            <w:tcW w:w="1740" w:type="dxa"/>
            <w:gridSpan w:val="2"/>
            <w:tcBorders>
              <w:top w:val="nil"/>
              <w:left w:val="nil"/>
              <w:bottom w:val="nil"/>
              <w:right w:val="nil"/>
            </w:tcBorders>
            <w:shd w:val="clear" w:color="auto" w:fill="auto"/>
            <w:noWrap/>
            <w:vAlign w:val="center"/>
            <w:hideMark/>
          </w:tcPr>
          <w:p w:rsidR="00FE0200" w:rsidRPr="00E52E3F" w:rsidRDefault="00FE0200" w:rsidP="003C352E">
            <w:pPr>
              <w:jc w:val="center"/>
              <w:rPr>
                <w:rFonts w:ascii="Times New Roman" w:eastAsia="Times New Roman" w:hAnsi="Times New Roman" w:cs="Times New Roman"/>
                <w:sz w:val="20"/>
                <w:szCs w:val="20"/>
                <w:lang w:eastAsia="en-US"/>
              </w:rPr>
            </w:pPr>
            <w:r w:rsidRPr="00E52E3F">
              <w:rPr>
                <w:rFonts w:ascii="Times New Roman" w:eastAsia="Times New Roman" w:hAnsi="Times New Roman" w:cs="Times New Roman"/>
                <w:sz w:val="20"/>
                <w:szCs w:val="20"/>
              </w:rPr>
              <w:t>1.59</w:t>
            </w:r>
          </w:p>
        </w:tc>
        <w:tc>
          <w:tcPr>
            <w:tcW w:w="1780" w:type="dxa"/>
            <w:gridSpan w:val="2"/>
            <w:tcBorders>
              <w:top w:val="nil"/>
              <w:left w:val="nil"/>
              <w:bottom w:val="nil"/>
              <w:right w:val="nil"/>
            </w:tcBorders>
            <w:shd w:val="clear" w:color="auto" w:fill="auto"/>
            <w:noWrap/>
            <w:vAlign w:val="center"/>
            <w:hideMark/>
          </w:tcPr>
          <w:p w:rsidR="00FE0200" w:rsidRPr="00E52E3F" w:rsidRDefault="00FE0200" w:rsidP="003C352E">
            <w:pPr>
              <w:jc w:val="center"/>
              <w:rPr>
                <w:rFonts w:ascii="Times New Roman" w:eastAsia="Times New Roman" w:hAnsi="Times New Roman" w:cs="Times New Roman"/>
                <w:sz w:val="20"/>
                <w:szCs w:val="20"/>
                <w:lang w:eastAsia="en-US"/>
              </w:rPr>
            </w:pPr>
            <w:r w:rsidRPr="00E52E3F">
              <w:rPr>
                <w:rFonts w:ascii="Times New Roman" w:eastAsia="Times New Roman" w:hAnsi="Times New Roman" w:cs="Times New Roman"/>
                <w:sz w:val="20"/>
                <w:szCs w:val="20"/>
              </w:rPr>
              <w:t>4.86</w:t>
            </w:r>
          </w:p>
        </w:tc>
      </w:tr>
    </w:tbl>
    <w:p w:rsidR="00FE0200" w:rsidRDefault="00FE0200" w:rsidP="00FE0200">
      <w:pPr>
        <w:keepNext/>
        <w:widowControl w:val="0"/>
        <w:autoSpaceDE w:val="0"/>
        <w:autoSpaceDN w:val="0"/>
        <w:adjustRightInd w:val="0"/>
        <w:rPr>
          <w:rFonts w:ascii="Times New Roman" w:hAnsi="Times New Roman"/>
        </w:rPr>
      </w:pPr>
    </w:p>
    <w:p w:rsidR="00FE0200" w:rsidRDefault="00FE0200" w:rsidP="00FE0200">
      <w:pPr>
        <w:rPr>
          <w:rFonts w:ascii="Times New Roman" w:hAnsi="Times New Roman"/>
        </w:rPr>
      </w:pPr>
      <w:r>
        <w:rPr>
          <w:rFonts w:ascii="Times New Roman" w:hAnsi="Times New Roman"/>
        </w:rPr>
        <w:br w:type="page"/>
      </w:r>
    </w:p>
    <w:p w:rsidR="00FE0200" w:rsidRPr="00B33460" w:rsidRDefault="00B33460" w:rsidP="00FE0200">
      <w:pPr>
        <w:pStyle w:val="Heading2"/>
        <w:rPr>
          <w:rFonts w:ascii="Times New Roman" w:hAnsi="Times New Roman" w:cs="Times New Roman"/>
        </w:rPr>
      </w:pPr>
      <w:bookmarkStart w:id="4" w:name="_Toc210107949"/>
      <w:r>
        <w:rPr>
          <w:rFonts w:ascii="Times New Roman" w:hAnsi="Times New Roman" w:cs="Times New Roman"/>
        </w:rPr>
        <w:lastRenderedPageBreak/>
        <w:t>4.</w:t>
      </w:r>
      <w:r w:rsidR="00FE0200" w:rsidRPr="00B33460">
        <w:rPr>
          <w:rFonts w:ascii="Times New Roman" w:hAnsi="Times New Roman" w:cs="Times New Roman"/>
        </w:rPr>
        <w:t xml:space="preserve"> Inferences Based on the </w:t>
      </w:r>
      <w:proofErr w:type="spellStart"/>
      <w:r w:rsidR="00FE0200" w:rsidRPr="00B33460">
        <w:rPr>
          <w:rFonts w:ascii="Times New Roman" w:hAnsi="Times New Roman" w:cs="Times New Roman"/>
        </w:rPr>
        <w:t>Kisicki</w:t>
      </w:r>
      <w:proofErr w:type="spellEnd"/>
      <w:r w:rsidR="00FE0200" w:rsidRPr="00B33460">
        <w:rPr>
          <w:rFonts w:ascii="Times New Roman" w:hAnsi="Times New Roman" w:cs="Times New Roman"/>
        </w:rPr>
        <w:t xml:space="preserve"> et al.</w:t>
      </w:r>
      <w:r w:rsidR="004375A8" w:rsidRPr="00B33460">
        <w:rPr>
          <w:rFonts w:ascii="Times New Roman" w:hAnsi="Times New Roman" w:cs="Times New Roman"/>
        </w:rPr>
        <w:fldChar w:fldCharType="begin"/>
      </w:r>
      <w:r w:rsidR="002B6D02">
        <w:rPr>
          <w:rFonts w:ascii="Times New Roman" w:hAnsi="Times New Roman" w:cs="Times New Roman"/>
        </w:rPr>
        <w:instrText xml:space="preserve"> ADDIN EN.CITE &lt;EndNote&gt;&lt;Cite&gt;&lt;Author&gt;Kisicki&lt;/Author&gt;&lt;Year&gt;1999&lt;/Year&gt;&lt;RecNum&gt;207&lt;/RecNum&gt;&lt;DisplayText&gt;&lt;style face="superscript"&gt;(23)&lt;/style&gt;&lt;/DisplayText&gt;&lt;record&gt;&lt;rec-number&gt;207&lt;/rec-number&gt;&lt;foreign-keys&gt;&lt;key app="EN" db-id="xftvffafmwpe0fedf055pwp7ts95t0ta0v0a"&gt;207&lt;/key&gt;&lt;/foreign-keys&gt;&lt;ref-type name="Report"&gt;27&lt;/ref-type&gt;&lt;contributors&gt;&lt;authors&gt;&lt;author&gt;Kisicki, JC, Seip, CW, Combs, ML&lt;/author&gt;&lt;/authors&gt;&lt;/contributors&gt;&lt;titles&gt;&lt;title&gt;A rising dose toxicology study to determine the no-observable-effect-levels (for erthyrocyte acetylcholinesterase (AChE) inhibition and cholinergic signs and symptoms of chlorpyrifos at three dose levels.&lt;/title&gt;&lt;/titles&gt;&lt;dates&gt;&lt;year&gt;1999&lt;/year&gt;&lt;pub-dates&gt;&lt;date&gt;April 18, 1999&lt;/date&gt;&lt;/pub-dates&gt;&lt;/dates&gt;&lt;publisher&gt;MDC Harris Laboratory, Lincoln Nebraska&lt;/publisher&gt;&lt;isbn&gt;MRID No.: 44811002.&lt;/isbn&gt;&lt;urls&gt;&lt;/urls&gt;&lt;/record&gt;&lt;/Cite&gt;&lt;/EndNote&gt;</w:instrText>
      </w:r>
      <w:r w:rsidR="004375A8" w:rsidRPr="00B33460">
        <w:rPr>
          <w:rFonts w:ascii="Times New Roman" w:hAnsi="Times New Roman" w:cs="Times New Roman"/>
        </w:rPr>
        <w:fldChar w:fldCharType="separate"/>
      </w:r>
      <w:r w:rsidR="002B6D02" w:rsidRPr="002B6D02">
        <w:rPr>
          <w:rFonts w:ascii="Times New Roman" w:hAnsi="Times New Roman" w:cs="Times New Roman"/>
          <w:noProof/>
          <w:vertAlign w:val="superscript"/>
        </w:rPr>
        <w:t>(</w:t>
      </w:r>
      <w:hyperlink w:anchor="_ENREF_23" w:tooltip="Kisicki, 1999 #207" w:history="1">
        <w:r w:rsidR="002B6D02" w:rsidRPr="002B6D02">
          <w:rPr>
            <w:rFonts w:ascii="Times New Roman" w:hAnsi="Times New Roman" w:cs="Times New Roman"/>
            <w:noProof/>
            <w:vertAlign w:val="superscript"/>
          </w:rPr>
          <w:t>23</w:t>
        </w:r>
      </w:hyperlink>
      <w:r w:rsidR="002B6D02" w:rsidRPr="002B6D02">
        <w:rPr>
          <w:rFonts w:ascii="Times New Roman" w:hAnsi="Times New Roman" w:cs="Times New Roman"/>
          <w:noProof/>
          <w:vertAlign w:val="superscript"/>
        </w:rPr>
        <w:t>)</w:t>
      </w:r>
      <w:r w:rsidR="004375A8" w:rsidRPr="00B33460">
        <w:rPr>
          <w:rFonts w:ascii="Times New Roman" w:hAnsi="Times New Roman" w:cs="Times New Roman"/>
        </w:rPr>
        <w:fldChar w:fldCharType="end"/>
      </w:r>
      <w:r w:rsidR="00FE0200" w:rsidRPr="00B33460">
        <w:rPr>
          <w:rFonts w:ascii="Times New Roman" w:hAnsi="Times New Roman" w:cs="Times New Roman"/>
        </w:rPr>
        <w:t xml:space="preserve"> Experimental Human Dosing Study</w:t>
      </w:r>
      <w:bookmarkEnd w:id="4"/>
    </w:p>
    <w:p w:rsidR="00FE0200" w:rsidRDefault="00FE0200" w:rsidP="00FE0200"/>
    <w:p w:rsidR="00FE0200" w:rsidRPr="00EF01A6" w:rsidRDefault="00FE0200" w:rsidP="00FE0200">
      <w:pPr>
        <w:rPr>
          <w:rFonts w:ascii="Times New Roman" w:hAnsi="Times New Roman"/>
        </w:rPr>
      </w:pPr>
      <w:r w:rsidRPr="00EF01A6">
        <w:rPr>
          <w:rFonts w:ascii="Times New Roman" w:hAnsi="Times New Roman" w:cs="Times New Roman"/>
        </w:rPr>
        <w:t xml:space="preserve">The human dosing experiments of </w:t>
      </w:r>
      <w:proofErr w:type="spellStart"/>
      <w:r w:rsidRPr="00EF01A6">
        <w:rPr>
          <w:rFonts w:ascii="Times New Roman" w:hAnsi="Times New Roman" w:cs="Times New Roman"/>
        </w:rPr>
        <w:t>Kisicki</w:t>
      </w:r>
      <w:proofErr w:type="spellEnd"/>
      <w:r w:rsidRPr="00EF01A6">
        <w:rPr>
          <w:rFonts w:ascii="Times New Roman" w:hAnsi="Times New Roman" w:cs="Times New Roman"/>
        </w:rPr>
        <w:t xml:space="preserve"> et al. were considerably more extensive than t</w:t>
      </w:r>
      <w:r>
        <w:rPr>
          <w:rFonts w:ascii="Times New Roman" w:hAnsi="Times New Roman" w:cs="Times New Roman"/>
        </w:rPr>
        <w:t>hose carried out by Nolan et al.</w:t>
      </w:r>
      <w:r w:rsidRPr="00EF01A6">
        <w:rPr>
          <w:rFonts w:ascii="Times New Roman" w:hAnsi="Times New Roman" w:cs="Times New Roman"/>
        </w:rPr>
        <w:t xml:space="preserve"> Where Nolan exposed only 6 men to a 0.5 mg/kg and detected significant blood levels</w:t>
      </w:r>
      <w:r>
        <w:rPr>
          <w:rFonts w:ascii="Times New Roman" w:hAnsi="Times New Roman" w:cs="Times New Roman"/>
        </w:rPr>
        <w:t xml:space="preserve"> of at least 5 </w:t>
      </w:r>
      <w:proofErr w:type="spellStart"/>
      <w:r>
        <w:rPr>
          <w:rFonts w:ascii="Times New Roman" w:hAnsi="Times New Roman" w:cs="Times New Roman"/>
        </w:rPr>
        <w:t>ng</w:t>
      </w:r>
      <w:proofErr w:type="spellEnd"/>
      <w:r>
        <w:rPr>
          <w:rFonts w:ascii="Times New Roman" w:hAnsi="Times New Roman" w:cs="Times New Roman"/>
        </w:rPr>
        <w:t>/ml in a minimum of</w:t>
      </w:r>
      <w:r w:rsidRPr="00EF01A6">
        <w:rPr>
          <w:rFonts w:ascii="Times New Roman" w:hAnsi="Times New Roman" w:cs="Times New Roman"/>
        </w:rPr>
        <w:t xml:space="preserve"> 5, </w:t>
      </w:r>
      <w:proofErr w:type="spellStart"/>
      <w:r w:rsidRPr="00EF01A6">
        <w:rPr>
          <w:rFonts w:ascii="Times New Roman" w:hAnsi="Times New Roman" w:cs="Times New Roman"/>
        </w:rPr>
        <w:t>Kisicki</w:t>
      </w:r>
      <w:proofErr w:type="spellEnd"/>
      <w:r w:rsidRPr="00EF01A6">
        <w:rPr>
          <w:rFonts w:ascii="Times New Roman" w:hAnsi="Times New Roman" w:cs="Times New Roman"/>
        </w:rPr>
        <w:t xml:space="preserve"> et al. gave </w:t>
      </w:r>
      <w:proofErr w:type="spellStart"/>
      <w:r w:rsidRPr="00EF01A6">
        <w:rPr>
          <w:rFonts w:ascii="Times New Roman" w:hAnsi="Times New Roman" w:cs="Times New Roman"/>
        </w:rPr>
        <w:t>chlorpyrifos</w:t>
      </w:r>
      <w:proofErr w:type="spellEnd"/>
      <w:r w:rsidRPr="00EF01A6">
        <w:rPr>
          <w:rFonts w:ascii="Times New Roman" w:hAnsi="Times New Roman" w:cs="Times New Roman"/>
        </w:rPr>
        <w:t xml:space="preserve"> orally to </w:t>
      </w:r>
      <w:r>
        <w:rPr>
          <w:rFonts w:ascii="Times New Roman" w:hAnsi="Times New Roman" w:cs="Times New Roman"/>
        </w:rPr>
        <w:t>6</w:t>
      </w:r>
      <w:r w:rsidRPr="00EF01A6">
        <w:rPr>
          <w:rFonts w:ascii="Times New Roman" w:hAnsi="Times New Roman" w:cs="Times New Roman"/>
        </w:rPr>
        <w:t xml:space="preserve"> men and </w:t>
      </w:r>
      <w:r>
        <w:rPr>
          <w:rFonts w:ascii="Times New Roman" w:hAnsi="Times New Roman" w:cs="Times New Roman"/>
        </w:rPr>
        <w:t>6</w:t>
      </w:r>
      <w:r w:rsidRPr="00EF01A6">
        <w:rPr>
          <w:rFonts w:ascii="Times New Roman" w:hAnsi="Times New Roman" w:cs="Times New Roman"/>
        </w:rPr>
        <w:t xml:space="preserve"> women </w:t>
      </w:r>
      <w:r>
        <w:rPr>
          <w:rFonts w:ascii="Times New Roman" w:hAnsi="Times New Roman" w:cs="Times New Roman"/>
        </w:rPr>
        <w:t xml:space="preserve">each </w:t>
      </w:r>
      <w:r w:rsidRPr="00EF01A6">
        <w:rPr>
          <w:rFonts w:ascii="Times New Roman" w:hAnsi="Times New Roman" w:cs="Times New Roman"/>
        </w:rPr>
        <w:t xml:space="preserve">in doses of either 0.5, 1.0, or 2 mg/kg body weight and used an analytical method with a reported detection limit of 1 </w:t>
      </w:r>
      <w:proofErr w:type="spellStart"/>
      <w:r w:rsidRPr="00EF01A6">
        <w:rPr>
          <w:rFonts w:ascii="Times New Roman" w:hAnsi="Times New Roman" w:cs="Times New Roman"/>
        </w:rPr>
        <w:t>ng</w:t>
      </w:r>
      <w:proofErr w:type="spellEnd"/>
      <w:r w:rsidRPr="00EF01A6">
        <w:rPr>
          <w:rFonts w:ascii="Times New Roman" w:hAnsi="Times New Roman" w:cs="Times New Roman"/>
        </w:rPr>
        <w:t xml:space="preserve">/ml.   Despite the greater doses and the smaller detection limit, only 8 of the </w:t>
      </w:r>
      <w:r>
        <w:rPr>
          <w:rFonts w:ascii="Times New Roman" w:hAnsi="Times New Roman" w:cs="Times New Roman"/>
        </w:rPr>
        <w:t xml:space="preserve">24 </w:t>
      </w:r>
      <w:proofErr w:type="spellStart"/>
      <w:r w:rsidRPr="00EF01A6">
        <w:rPr>
          <w:rFonts w:ascii="Times New Roman" w:hAnsi="Times New Roman" w:cs="Times New Roman"/>
        </w:rPr>
        <w:t>Kisicki</w:t>
      </w:r>
      <w:proofErr w:type="spellEnd"/>
      <w:r w:rsidRPr="00EF01A6">
        <w:rPr>
          <w:rFonts w:ascii="Times New Roman" w:hAnsi="Times New Roman" w:cs="Times New Roman"/>
        </w:rPr>
        <w:t xml:space="preserve"> et al. subjects </w:t>
      </w:r>
      <w:r>
        <w:rPr>
          <w:rFonts w:ascii="Times New Roman" w:hAnsi="Times New Roman" w:cs="Times New Roman"/>
        </w:rPr>
        <w:t xml:space="preserve">exposed at the two higher doses </w:t>
      </w:r>
      <w:r w:rsidRPr="00EF01A6">
        <w:rPr>
          <w:rFonts w:ascii="Times New Roman" w:hAnsi="Times New Roman" w:cs="Times New Roman"/>
        </w:rPr>
        <w:t xml:space="preserve">reportedly had blood levels above the reduced detection limit of 1 </w:t>
      </w:r>
      <w:proofErr w:type="spellStart"/>
      <w:r w:rsidRPr="00EF01A6">
        <w:rPr>
          <w:rFonts w:ascii="Times New Roman" w:hAnsi="Times New Roman" w:cs="Times New Roman"/>
        </w:rPr>
        <w:t>ng</w:t>
      </w:r>
      <w:proofErr w:type="spellEnd"/>
      <w:r w:rsidRPr="00EF01A6">
        <w:rPr>
          <w:rFonts w:ascii="Times New Roman" w:hAnsi="Times New Roman" w:cs="Times New Roman"/>
        </w:rPr>
        <w:t>/ml.  The data for these 8 subjects are reproduced in Tabl</w:t>
      </w:r>
      <w:r>
        <w:rPr>
          <w:rFonts w:ascii="Times New Roman" w:hAnsi="Times New Roman"/>
        </w:rPr>
        <w:t xml:space="preserve">e </w:t>
      </w:r>
      <w:r w:rsidR="002D17D2">
        <w:rPr>
          <w:rFonts w:ascii="Times New Roman" w:hAnsi="Times New Roman"/>
        </w:rPr>
        <w:t>S10 (which corresponds to Table VI in the final technical report)</w:t>
      </w:r>
      <w:r>
        <w:rPr>
          <w:rFonts w:ascii="Times New Roman" w:hAnsi="Times New Roman"/>
        </w:rPr>
        <w:t>.</w:t>
      </w:r>
      <w:r w:rsidRPr="00EF01A6">
        <w:rPr>
          <w:rFonts w:ascii="Times New Roman" w:hAnsi="Times New Roman"/>
        </w:rPr>
        <w:t xml:space="preserve"> </w:t>
      </w:r>
    </w:p>
    <w:p w:rsidR="00FE0200" w:rsidRDefault="00FE0200" w:rsidP="00FE0200">
      <w:pPr>
        <w:pStyle w:val="Body"/>
      </w:pPr>
      <w:r>
        <w:t xml:space="preserve">As before we have chosen to consolidate these observations into the overall integral of blood CPF X time [that is, the Area Under the Curve (AUC)] over the period from 0 to 12 hours after dosing.  Then, to help normalize by dosing level and differential absorption among subjects and experiments, we have divided each individual subject’s AUC by the mg/kg absorbed dose for that subject, as calculated by the Dow researchers from the ultimate amount of TCP excreted in urine by 168 hours.   </w:t>
      </w:r>
    </w:p>
    <w:p w:rsidR="00FE0200" w:rsidRDefault="00FE0200" w:rsidP="00B438F0">
      <w:pPr>
        <w:pStyle w:val="Body"/>
      </w:pPr>
      <w:r>
        <w:t xml:space="preserve">The results of these calculations are shown in Table </w:t>
      </w:r>
      <w:r w:rsidR="00FF7778">
        <w:t>S11</w:t>
      </w:r>
      <w:r>
        <w:t xml:space="preserve">.  It can be seen that even without taking into account the fact that 2/3 of the subjects in the more recent experiments had reported blood </w:t>
      </w:r>
      <w:r w:rsidR="008E6C23">
        <w:t xml:space="preserve">levels below the detection limit, the indicated blood CPF/absorbed dose is markedly reduced compared to the earlier Nolan et al. (1982, 1984) findings.   The averages for the men and women are </w:t>
      </w:r>
      <w:proofErr w:type="gramStart"/>
      <w:r w:rsidR="008E6C23">
        <w:t>34.4  and</w:t>
      </w:r>
      <w:proofErr w:type="gramEnd"/>
      <w:r w:rsidR="008E6C23">
        <w:t xml:space="preserve"> 58.5 </w:t>
      </w:r>
      <w:proofErr w:type="spellStart"/>
      <w:r w:rsidR="008E6C23">
        <w:t>ng</w:t>
      </w:r>
      <w:proofErr w:type="spellEnd"/>
      <w:r w:rsidR="008E6C23">
        <w:t xml:space="preserve">-hr/ml/(mg/kg absorbed) respectively.  This compares with the figure from the Nolan et al. study of 264 </w:t>
      </w:r>
      <w:proofErr w:type="spellStart"/>
      <w:r w:rsidR="008E6C23">
        <w:t>ng</w:t>
      </w:r>
      <w:proofErr w:type="spellEnd"/>
      <w:r w:rsidR="008E6C23">
        <w:t>-hr/ml</w:t>
      </w:r>
      <w:proofErr w:type="gramStart"/>
      <w:r w:rsidR="008E6C23">
        <w:t>/(</w:t>
      </w:r>
      <w:proofErr w:type="gramEnd"/>
      <w:r w:rsidR="008E6C23">
        <w:t xml:space="preserve">mg/kg absorbed).   Thus the </w:t>
      </w:r>
      <w:proofErr w:type="spellStart"/>
      <w:r w:rsidR="008E6C23">
        <w:t>Kisicki</w:t>
      </w:r>
      <w:proofErr w:type="spellEnd"/>
      <w:r w:rsidR="008E6C23">
        <w:t xml:space="preserve"> et al. observations must lead to considerably higher expected metabolism rates than those of Nolan et al., and similarly higher estimates of the dose/blood level conversion factors.  </w:t>
      </w:r>
    </w:p>
    <w:p w:rsidR="008E6C23" w:rsidRDefault="008E6C23" w:rsidP="008E6C23">
      <w:pPr>
        <w:pStyle w:val="Body"/>
      </w:pPr>
      <w:bookmarkStart w:id="5" w:name="_Toc143163422"/>
      <w:r>
        <w:t xml:space="preserve">After fitting the individual detected values in Table S10 to lognormal distributions that factor in the presence of the </w:t>
      </w:r>
      <w:proofErr w:type="spellStart"/>
      <w:r>
        <w:t>nondetects</w:t>
      </w:r>
      <w:proofErr w:type="spellEnd"/>
      <w:r>
        <w:t xml:space="preserve"> (where the “</w:t>
      </w:r>
      <w:proofErr w:type="spellStart"/>
      <w:r>
        <w:t>nondetect</w:t>
      </w:r>
      <w:proofErr w:type="spellEnd"/>
      <w:r>
        <w:t xml:space="preserve">” value was considered to be just below the lowest detected value for each sex), the mean values for men and women are reduced to 11.4 and 42.6 </w:t>
      </w:r>
      <w:proofErr w:type="spellStart"/>
      <w:r>
        <w:t>ng</w:t>
      </w:r>
      <w:proofErr w:type="spellEnd"/>
      <w:r>
        <w:t>-hr/ml/(mg/kg absorbed) respectively.  Assessment of the uncertainties in these values after imputation of the mean values in the ranges below the male and female detection limits is not straightforward.   One approach is to do a parametric bootstrap analysis—doing 24 draws (one for each subject) per trial from the lognormal distribution fit to the data in the detected region; and then re-fitting the randomly drawn values in the detected region to new lognormal distributions to estimate average values for the whole distribution.  Using this approach through 20 iterations for the distribution of female log(AUC)/absorbed dose distribution yields an approximately lognormal distribution with a geometric mean of 41.8 (</w:t>
      </w:r>
      <w:proofErr w:type="spellStart"/>
      <w:r>
        <w:t>ng</w:t>
      </w:r>
      <w:proofErr w:type="spellEnd"/>
      <w:r>
        <w:t xml:space="preserve">-hr/ml)/(mg/kg absorbed) and a geometric standard deviation of 1.1267.  We choose to use these estimates for calibration of the metabolism rate of the PBPK model for non-pregnant women.  This results in a central estimate liver metabolism rate of 1.36/min with ± 1 standard error confidence limits of </w:t>
      </w:r>
    </w:p>
    <w:p w:rsidR="00FE0200" w:rsidRDefault="00FE0200" w:rsidP="00FE0200">
      <w:pPr>
        <w:rPr>
          <w:b/>
        </w:rPr>
      </w:pPr>
      <w:r>
        <w:rPr>
          <w:b/>
        </w:rPr>
        <w:br w:type="page"/>
      </w:r>
    </w:p>
    <w:p w:rsidR="00FE0200" w:rsidRPr="00FF7778" w:rsidRDefault="00FE0200" w:rsidP="00FE0200">
      <w:pPr>
        <w:pBdr>
          <w:bottom w:val="single" w:sz="24" w:space="1" w:color="auto"/>
        </w:pBdr>
        <w:jc w:val="center"/>
        <w:rPr>
          <w:rFonts w:ascii="Times New Roman" w:hAnsi="Times New Roman" w:cs="Times New Roman"/>
        </w:rPr>
      </w:pPr>
      <w:r w:rsidRPr="00FF7778">
        <w:rPr>
          <w:rFonts w:ascii="Times New Roman" w:hAnsi="Times New Roman" w:cs="Times New Roman"/>
          <w:b/>
        </w:rPr>
        <w:lastRenderedPageBreak/>
        <w:t xml:space="preserve">Table </w:t>
      </w:r>
      <w:bookmarkEnd w:id="5"/>
      <w:r w:rsidR="002D17D2" w:rsidRPr="00FF7778">
        <w:rPr>
          <w:rFonts w:ascii="Times New Roman" w:hAnsi="Times New Roman" w:cs="Times New Roman"/>
          <w:b/>
        </w:rPr>
        <w:t>S10 (corresponds to Table VI in the final technical report)</w:t>
      </w:r>
      <w:r w:rsidRPr="00FF7778">
        <w:rPr>
          <w:rFonts w:ascii="Times New Roman" w:hAnsi="Times New Roman" w:cs="Times New Roman"/>
          <w:b/>
        </w:rPr>
        <w:t xml:space="preserve">.  </w:t>
      </w:r>
      <w:r w:rsidRPr="00FF7778">
        <w:rPr>
          <w:rFonts w:ascii="Times New Roman" w:hAnsi="Times New Roman" w:cs="Times New Roman"/>
        </w:rPr>
        <w:t xml:space="preserve">Observations of Blood </w:t>
      </w:r>
      <w:proofErr w:type="spellStart"/>
      <w:r w:rsidRPr="00FF7778">
        <w:rPr>
          <w:rFonts w:ascii="Times New Roman" w:hAnsi="Times New Roman" w:cs="Times New Roman"/>
        </w:rPr>
        <w:t>Chlorpyrifos</w:t>
      </w:r>
      <w:proofErr w:type="spellEnd"/>
      <w:r w:rsidRPr="00FF7778">
        <w:rPr>
          <w:rFonts w:ascii="Times New Roman" w:hAnsi="Times New Roman" w:cs="Times New Roman"/>
        </w:rPr>
        <w:t xml:space="preserve"> Levels in 8/24 Subjects Given 1-2 mg/kg in the More Recent Set of Human Exposure Experiments and Reported with at Least One CPF Blood Level Above The Reported Detection Limit of 1 </w:t>
      </w:r>
      <w:proofErr w:type="spellStart"/>
      <w:r w:rsidRPr="00FF7778">
        <w:rPr>
          <w:rFonts w:ascii="Times New Roman" w:hAnsi="Times New Roman" w:cs="Times New Roman"/>
        </w:rPr>
        <w:t>ng</w:t>
      </w:r>
      <w:proofErr w:type="spellEnd"/>
      <w:r w:rsidRPr="00FF7778">
        <w:rPr>
          <w:rFonts w:ascii="Times New Roman" w:hAnsi="Times New Roman" w:cs="Times New Roman"/>
        </w:rPr>
        <w:t>/ml</w:t>
      </w:r>
    </w:p>
    <w:p w:rsidR="00FE0200" w:rsidRPr="00890BBC" w:rsidRDefault="00FE0200" w:rsidP="00FE0200">
      <w:pPr>
        <w:pBdr>
          <w:bottom w:val="single" w:sz="6" w:space="1" w:color="auto"/>
        </w:pBdr>
        <w:spacing w:before="120"/>
        <w:jc w:val="center"/>
        <w:rPr>
          <w:rFonts w:ascii="Times New Roman" w:hAnsi="Times New Roman" w:cs="Times New Roman"/>
        </w:rPr>
      </w:pPr>
      <w:r w:rsidRPr="00890BBC">
        <w:rPr>
          <w:rFonts w:ascii="Times New Roman" w:hAnsi="Times New Roman" w:cs="Times New Roman"/>
        </w:rPr>
        <w:t xml:space="preserve">Individual Subjects (number, sex, </w:t>
      </w:r>
      <w:proofErr w:type="spellStart"/>
      <w:r w:rsidRPr="00890BBC">
        <w:rPr>
          <w:rFonts w:ascii="Times New Roman" w:hAnsi="Times New Roman" w:cs="Times New Roman"/>
        </w:rPr>
        <w:t>paroxonase</w:t>
      </w:r>
      <w:proofErr w:type="spellEnd"/>
      <w:r w:rsidRPr="00890BBC">
        <w:rPr>
          <w:rFonts w:ascii="Times New Roman" w:hAnsi="Times New Roman" w:cs="Times New Roman"/>
        </w:rPr>
        <w:t xml:space="preserve"> genotype, dose)</w:t>
      </w:r>
    </w:p>
    <w:tbl>
      <w:tblPr>
        <w:tblW w:w="9675" w:type="dxa"/>
        <w:tblInd w:w="103" w:type="dxa"/>
        <w:tblLook w:val="0000"/>
      </w:tblPr>
      <w:tblGrid>
        <w:gridCol w:w="1535"/>
        <w:gridCol w:w="990"/>
        <w:gridCol w:w="990"/>
        <w:gridCol w:w="990"/>
        <w:gridCol w:w="1080"/>
        <w:gridCol w:w="990"/>
        <w:gridCol w:w="1080"/>
        <w:gridCol w:w="990"/>
        <w:gridCol w:w="1030"/>
      </w:tblGrid>
      <w:tr w:rsidR="00FE0200" w:rsidRPr="00890BBC" w:rsidTr="003C352E">
        <w:trPr>
          <w:trHeight w:val="540"/>
        </w:trPr>
        <w:tc>
          <w:tcPr>
            <w:tcW w:w="1535" w:type="dxa"/>
            <w:tcBorders>
              <w:bottom w:val="single" w:sz="6" w:space="0" w:color="auto"/>
            </w:tcBorders>
            <w:shd w:val="clear" w:color="auto" w:fill="auto"/>
            <w:vAlign w:val="bottom"/>
          </w:tcPr>
          <w:p w:rsidR="00FE0200" w:rsidRPr="00532787" w:rsidRDefault="00FE0200" w:rsidP="003C352E">
            <w:pPr>
              <w:pBdr>
                <w:bottom w:val="single" w:sz="6" w:space="1" w:color="auto"/>
              </w:pBdr>
              <w:jc w:val="center"/>
              <w:rPr>
                <w:rFonts w:ascii="Times New Roman" w:hAnsi="Times New Roman" w:cs="Times New Roman"/>
                <w:sz w:val="20"/>
              </w:rPr>
            </w:pPr>
            <w:r w:rsidRPr="00532787">
              <w:rPr>
                <w:rFonts w:ascii="Times New Roman" w:hAnsi="Times New Roman" w:cs="Times New Roman"/>
                <w:sz w:val="20"/>
              </w:rPr>
              <w:t>Hours After Dosing</w:t>
            </w:r>
          </w:p>
        </w:tc>
        <w:tc>
          <w:tcPr>
            <w:tcW w:w="990" w:type="dxa"/>
            <w:tcBorders>
              <w:bottom w:val="single" w:sz="6" w:space="0" w:color="auto"/>
            </w:tcBorders>
            <w:shd w:val="clear" w:color="auto" w:fill="auto"/>
            <w:vAlign w:val="bottom"/>
          </w:tcPr>
          <w:p w:rsidR="00FE0200" w:rsidRPr="00532787" w:rsidRDefault="00FE0200" w:rsidP="003C352E">
            <w:pPr>
              <w:pBdr>
                <w:bottom w:val="single" w:sz="6" w:space="1" w:color="auto"/>
              </w:pBdr>
              <w:jc w:val="center"/>
              <w:rPr>
                <w:rFonts w:ascii="Times New Roman" w:hAnsi="Times New Roman" w:cs="Times New Roman"/>
                <w:sz w:val="20"/>
              </w:rPr>
            </w:pPr>
            <w:r w:rsidRPr="00532787">
              <w:rPr>
                <w:rFonts w:ascii="Times New Roman" w:hAnsi="Times New Roman" w:cs="Times New Roman"/>
                <w:sz w:val="20"/>
              </w:rPr>
              <w:t>47 M QQ 2 mg/kg</w:t>
            </w:r>
          </w:p>
        </w:tc>
        <w:tc>
          <w:tcPr>
            <w:tcW w:w="990" w:type="dxa"/>
            <w:tcBorders>
              <w:bottom w:val="single" w:sz="6" w:space="0" w:color="auto"/>
            </w:tcBorders>
            <w:shd w:val="clear" w:color="auto" w:fill="auto"/>
            <w:vAlign w:val="bottom"/>
          </w:tcPr>
          <w:p w:rsidR="00FE0200" w:rsidRPr="00532787" w:rsidRDefault="00FE0200" w:rsidP="003C352E">
            <w:pPr>
              <w:pBdr>
                <w:bottom w:val="single" w:sz="6" w:space="1" w:color="auto"/>
              </w:pBdr>
              <w:jc w:val="center"/>
              <w:rPr>
                <w:rFonts w:ascii="Times New Roman" w:hAnsi="Times New Roman" w:cs="Times New Roman"/>
                <w:sz w:val="20"/>
              </w:rPr>
            </w:pPr>
            <w:r w:rsidRPr="00532787">
              <w:rPr>
                <w:rFonts w:ascii="Times New Roman" w:hAnsi="Times New Roman" w:cs="Times New Roman"/>
                <w:sz w:val="20"/>
              </w:rPr>
              <w:t>49 F QQ 2 mg/kg</w:t>
            </w:r>
          </w:p>
        </w:tc>
        <w:tc>
          <w:tcPr>
            <w:tcW w:w="990" w:type="dxa"/>
            <w:tcBorders>
              <w:bottom w:val="single" w:sz="6" w:space="0" w:color="auto"/>
            </w:tcBorders>
            <w:shd w:val="clear" w:color="auto" w:fill="auto"/>
            <w:vAlign w:val="bottom"/>
          </w:tcPr>
          <w:p w:rsidR="00FE0200" w:rsidRPr="00532787" w:rsidRDefault="00FE0200" w:rsidP="003C352E">
            <w:pPr>
              <w:pBdr>
                <w:bottom w:val="single" w:sz="6" w:space="1" w:color="auto"/>
              </w:pBdr>
              <w:jc w:val="center"/>
              <w:rPr>
                <w:rFonts w:ascii="Times New Roman" w:hAnsi="Times New Roman" w:cs="Times New Roman"/>
                <w:sz w:val="20"/>
              </w:rPr>
            </w:pPr>
            <w:r w:rsidRPr="00532787">
              <w:rPr>
                <w:rFonts w:ascii="Times New Roman" w:hAnsi="Times New Roman" w:cs="Times New Roman"/>
                <w:sz w:val="20"/>
              </w:rPr>
              <w:t>56 F QQ 2 mg/kg</w:t>
            </w:r>
          </w:p>
        </w:tc>
        <w:tc>
          <w:tcPr>
            <w:tcW w:w="1080" w:type="dxa"/>
            <w:tcBorders>
              <w:bottom w:val="single" w:sz="6" w:space="0" w:color="auto"/>
            </w:tcBorders>
            <w:shd w:val="clear" w:color="auto" w:fill="auto"/>
            <w:vAlign w:val="bottom"/>
          </w:tcPr>
          <w:p w:rsidR="00FE0200" w:rsidRPr="00532787" w:rsidRDefault="00FE0200" w:rsidP="003C352E">
            <w:pPr>
              <w:pBdr>
                <w:bottom w:val="single" w:sz="6" w:space="1" w:color="auto"/>
              </w:pBdr>
              <w:jc w:val="center"/>
              <w:rPr>
                <w:rFonts w:ascii="Times New Roman" w:hAnsi="Times New Roman" w:cs="Times New Roman"/>
                <w:sz w:val="20"/>
              </w:rPr>
            </w:pPr>
            <w:r w:rsidRPr="00532787">
              <w:rPr>
                <w:rFonts w:ascii="Times New Roman" w:hAnsi="Times New Roman" w:cs="Times New Roman"/>
                <w:sz w:val="20"/>
              </w:rPr>
              <w:t>59 F QQ 2 mg/kg</w:t>
            </w:r>
          </w:p>
        </w:tc>
        <w:tc>
          <w:tcPr>
            <w:tcW w:w="990" w:type="dxa"/>
            <w:tcBorders>
              <w:bottom w:val="single" w:sz="6" w:space="0" w:color="auto"/>
            </w:tcBorders>
            <w:shd w:val="clear" w:color="auto" w:fill="auto"/>
            <w:vAlign w:val="bottom"/>
          </w:tcPr>
          <w:p w:rsidR="00FE0200" w:rsidRPr="00532787" w:rsidRDefault="00FE0200" w:rsidP="003C352E">
            <w:pPr>
              <w:pBdr>
                <w:bottom w:val="single" w:sz="6" w:space="1" w:color="auto"/>
              </w:pBdr>
              <w:jc w:val="center"/>
              <w:rPr>
                <w:rFonts w:ascii="Times New Roman" w:hAnsi="Times New Roman" w:cs="Times New Roman"/>
                <w:sz w:val="20"/>
              </w:rPr>
            </w:pPr>
            <w:r w:rsidRPr="00532787">
              <w:rPr>
                <w:rFonts w:ascii="Times New Roman" w:hAnsi="Times New Roman" w:cs="Times New Roman"/>
                <w:sz w:val="20"/>
              </w:rPr>
              <w:t>11 M QQ 1 mg/kg</w:t>
            </w:r>
          </w:p>
        </w:tc>
        <w:tc>
          <w:tcPr>
            <w:tcW w:w="1080" w:type="dxa"/>
            <w:tcBorders>
              <w:bottom w:val="single" w:sz="6" w:space="0" w:color="auto"/>
            </w:tcBorders>
            <w:shd w:val="clear" w:color="auto" w:fill="auto"/>
            <w:vAlign w:val="bottom"/>
          </w:tcPr>
          <w:p w:rsidR="00FE0200" w:rsidRPr="00532787" w:rsidRDefault="00FE0200" w:rsidP="003C352E">
            <w:pPr>
              <w:pBdr>
                <w:bottom w:val="single" w:sz="6" w:space="1" w:color="auto"/>
              </w:pBdr>
              <w:jc w:val="center"/>
              <w:rPr>
                <w:rFonts w:ascii="Times New Roman" w:hAnsi="Times New Roman" w:cs="Times New Roman"/>
                <w:sz w:val="20"/>
              </w:rPr>
            </w:pPr>
            <w:r w:rsidRPr="00532787">
              <w:rPr>
                <w:rFonts w:ascii="Times New Roman" w:hAnsi="Times New Roman" w:cs="Times New Roman"/>
                <w:sz w:val="20"/>
              </w:rPr>
              <w:t>14 M QQ 1 mg/kg</w:t>
            </w:r>
          </w:p>
        </w:tc>
        <w:tc>
          <w:tcPr>
            <w:tcW w:w="990" w:type="dxa"/>
            <w:tcBorders>
              <w:bottom w:val="single" w:sz="6" w:space="0" w:color="auto"/>
            </w:tcBorders>
            <w:shd w:val="clear" w:color="auto" w:fill="auto"/>
            <w:vAlign w:val="bottom"/>
          </w:tcPr>
          <w:p w:rsidR="00FE0200" w:rsidRPr="00532787" w:rsidRDefault="00FE0200" w:rsidP="003C352E">
            <w:pPr>
              <w:pBdr>
                <w:bottom w:val="single" w:sz="6" w:space="1" w:color="auto"/>
              </w:pBdr>
              <w:jc w:val="center"/>
              <w:rPr>
                <w:rFonts w:ascii="Times New Roman" w:hAnsi="Times New Roman" w:cs="Times New Roman"/>
                <w:sz w:val="20"/>
              </w:rPr>
            </w:pPr>
            <w:r w:rsidRPr="00532787">
              <w:rPr>
                <w:rFonts w:ascii="Times New Roman" w:hAnsi="Times New Roman" w:cs="Times New Roman"/>
                <w:sz w:val="20"/>
              </w:rPr>
              <w:t>21 F QQ 1 mg/kg</w:t>
            </w:r>
          </w:p>
        </w:tc>
        <w:tc>
          <w:tcPr>
            <w:tcW w:w="1030" w:type="dxa"/>
            <w:tcBorders>
              <w:bottom w:val="single" w:sz="6" w:space="0" w:color="auto"/>
            </w:tcBorders>
            <w:shd w:val="clear" w:color="auto" w:fill="auto"/>
            <w:vAlign w:val="bottom"/>
          </w:tcPr>
          <w:p w:rsidR="00FE0200" w:rsidRPr="00532787" w:rsidRDefault="00FE0200" w:rsidP="003C352E">
            <w:pPr>
              <w:pBdr>
                <w:bottom w:val="single" w:sz="6" w:space="1" w:color="auto"/>
              </w:pBdr>
              <w:jc w:val="center"/>
              <w:rPr>
                <w:rFonts w:ascii="Times New Roman" w:hAnsi="Times New Roman" w:cs="Times New Roman"/>
                <w:sz w:val="20"/>
              </w:rPr>
            </w:pPr>
            <w:r w:rsidRPr="00532787">
              <w:rPr>
                <w:rFonts w:ascii="Times New Roman" w:hAnsi="Times New Roman" w:cs="Times New Roman"/>
                <w:sz w:val="20"/>
              </w:rPr>
              <w:t>30 F QR 1 mg/kg</w:t>
            </w:r>
          </w:p>
        </w:tc>
      </w:tr>
      <w:tr w:rsidR="00FE0200" w:rsidRPr="00890BBC" w:rsidTr="003C352E">
        <w:trPr>
          <w:trHeight w:val="300"/>
        </w:trPr>
        <w:tc>
          <w:tcPr>
            <w:tcW w:w="1535" w:type="dxa"/>
            <w:tcBorders>
              <w:top w:val="single" w:sz="6" w:space="0" w:color="auto"/>
            </w:tcBorders>
            <w:shd w:val="clear" w:color="auto" w:fill="auto"/>
            <w:noWrap/>
            <w:vAlign w:val="bottom"/>
          </w:tcPr>
          <w:p w:rsidR="00FE0200" w:rsidRPr="00890BBC" w:rsidRDefault="00FE0200" w:rsidP="003C352E">
            <w:pPr>
              <w:jc w:val="center"/>
              <w:rPr>
                <w:rFonts w:ascii="Times New Roman" w:hAnsi="Times New Roman" w:cs="Times New Roman"/>
                <w:sz w:val="20"/>
              </w:rPr>
            </w:pPr>
            <w:r w:rsidRPr="00890BBC">
              <w:rPr>
                <w:rFonts w:ascii="Times New Roman" w:hAnsi="Times New Roman" w:cs="Times New Roman"/>
                <w:sz w:val="20"/>
              </w:rPr>
              <w:t>0</w:t>
            </w:r>
          </w:p>
        </w:tc>
        <w:tc>
          <w:tcPr>
            <w:tcW w:w="990" w:type="dxa"/>
            <w:tcBorders>
              <w:top w:val="single" w:sz="6" w:space="0" w:color="auto"/>
            </w:tcBorders>
            <w:shd w:val="clear" w:color="auto" w:fill="auto"/>
            <w:noWrap/>
            <w:vAlign w:val="bottom"/>
          </w:tcPr>
          <w:p w:rsidR="00FE0200" w:rsidRPr="00890BBC" w:rsidRDefault="00FE0200" w:rsidP="003C352E">
            <w:pPr>
              <w:jc w:val="center"/>
              <w:rPr>
                <w:rFonts w:ascii="Times New Roman" w:hAnsi="Times New Roman" w:cs="Times New Roman"/>
                <w:sz w:val="20"/>
              </w:rPr>
            </w:pPr>
            <w:r w:rsidRPr="00890BBC">
              <w:rPr>
                <w:rFonts w:ascii="Times New Roman" w:hAnsi="Times New Roman" w:cs="Times New Roman"/>
                <w:sz w:val="20"/>
              </w:rPr>
              <w:t>ND</w:t>
            </w:r>
            <w:r w:rsidRPr="00890BBC">
              <w:rPr>
                <w:rFonts w:ascii="Times New Roman" w:hAnsi="Times New Roman" w:cs="Times New Roman"/>
                <w:szCs w:val="18"/>
                <w:vertAlign w:val="superscript"/>
              </w:rPr>
              <w:t xml:space="preserve"> a</w:t>
            </w:r>
          </w:p>
        </w:tc>
        <w:tc>
          <w:tcPr>
            <w:tcW w:w="990" w:type="dxa"/>
            <w:tcBorders>
              <w:top w:val="single" w:sz="6" w:space="0" w:color="auto"/>
            </w:tcBorders>
            <w:shd w:val="clear" w:color="auto" w:fill="auto"/>
            <w:noWrap/>
            <w:vAlign w:val="bottom"/>
          </w:tcPr>
          <w:p w:rsidR="00FE0200" w:rsidRPr="00890BBC" w:rsidRDefault="00FE0200" w:rsidP="003C352E">
            <w:pPr>
              <w:jc w:val="center"/>
              <w:rPr>
                <w:rFonts w:ascii="Times New Roman" w:hAnsi="Times New Roman" w:cs="Times New Roman"/>
                <w:sz w:val="20"/>
              </w:rPr>
            </w:pPr>
            <w:r w:rsidRPr="00890BBC">
              <w:rPr>
                <w:rFonts w:ascii="Times New Roman" w:hAnsi="Times New Roman" w:cs="Times New Roman"/>
                <w:sz w:val="20"/>
              </w:rPr>
              <w:t>ND</w:t>
            </w:r>
          </w:p>
        </w:tc>
        <w:tc>
          <w:tcPr>
            <w:tcW w:w="990" w:type="dxa"/>
            <w:tcBorders>
              <w:top w:val="single" w:sz="6" w:space="0" w:color="auto"/>
            </w:tcBorders>
            <w:shd w:val="clear" w:color="auto" w:fill="auto"/>
            <w:noWrap/>
            <w:vAlign w:val="bottom"/>
          </w:tcPr>
          <w:p w:rsidR="00FE0200" w:rsidRPr="00890BBC" w:rsidRDefault="00FE0200" w:rsidP="003C352E">
            <w:pPr>
              <w:jc w:val="center"/>
              <w:rPr>
                <w:rFonts w:ascii="Times New Roman" w:hAnsi="Times New Roman" w:cs="Times New Roman"/>
                <w:sz w:val="20"/>
              </w:rPr>
            </w:pPr>
            <w:r w:rsidRPr="00890BBC">
              <w:rPr>
                <w:rFonts w:ascii="Times New Roman" w:hAnsi="Times New Roman" w:cs="Times New Roman"/>
                <w:sz w:val="20"/>
              </w:rPr>
              <w:t>ND</w:t>
            </w:r>
          </w:p>
        </w:tc>
        <w:tc>
          <w:tcPr>
            <w:tcW w:w="1080" w:type="dxa"/>
            <w:tcBorders>
              <w:top w:val="single" w:sz="6" w:space="0" w:color="auto"/>
            </w:tcBorders>
            <w:shd w:val="clear" w:color="auto" w:fill="auto"/>
            <w:noWrap/>
            <w:vAlign w:val="bottom"/>
          </w:tcPr>
          <w:p w:rsidR="00FE0200" w:rsidRPr="00890BBC" w:rsidRDefault="00FE0200" w:rsidP="003C352E">
            <w:pPr>
              <w:jc w:val="center"/>
              <w:rPr>
                <w:rFonts w:ascii="Times New Roman" w:hAnsi="Times New Roman" w:cs="Times New Roman"/>
                <w:sz w:val="20"/>
              </w:rPr>
            </w:pPr>
            <w:r w:rsidRPr="00890BBC">
              <w:rPr>
                <w:rFonts w:ascii="Times New Roman" w:hAnsi="Times New Roman" w:cs="Times New Roman"/>
                <w:sz w:val="20"/>
              </w:rPr>
              <w:t>ND</w:t>
            </w:r>
          </w:p>
        </w:tc>
        <w:tc>
          <w:tcPr>
            <w:tcW w:w="990" w:type="dxa"/>
            <w:tcBorders>
              <w:top w:val="single" w:sz="6" w:space="0" w:color="auto"/>
            </w:tcBorders>
            <w:shd w:val="clear" w:color="auto" w:fill="auto"/>
            <w:noWrap/>
            <w:vAlign w:val="bottom"/>
          </w:tcPr>
          <w:p w:rsidR="00FE0200" w:rsidRPr="00890BBC" w:rsidRDefault="00FE0200" w:rsidP="003C352E">
            <w:pPr>
              <w:jc w:val="center"/>
              <w:rPr>
                <w:rFonts w:ascii="Times New Roman" w:hAnsi="Times New Roman" w:cs="Times New Roman"/>
                <w:sz w:val="20"/>
              </w:rPr>
            </w:pPr>
            <w:r w:rsidRPr="00890BBC">
              <w:rPr>
                <w:rFonts w:ascii="Times New Roman" w:hAnsi="Times New Roman" w:cs="Times New Roman"/>
                <w:sz w:val="20"/>
              </w:rPr>
              <w:t>Ns</w:t>
            </w:r>
            <w:r w:rsidRPr="00890BBC">
              <w:rPr>
                <w:rFonts w:ascii="Times New Roman" w:hAnsi="Times New Roman" w:cs="Times New Roman"/>
                <w:szCs w:val="18"/>
                <w:vertAlign w:val="superscript"/>
              </w:rPr>
              <w:t xml:space="preserve"> b</w:t>
            </w:r>
          </w:p>
        </w:tc>
        <w:tc>
          <w:tcPr>
            <w:tcW w:w="1080" w:type="dxa"/>
            <w:tcBorders>
              <w:top w:val="single" w:sz="6" w:space="0" w:color="auto"/>
            </w:tcBorders>
            <w:shd w:val="clear" w:color="auto" w:fill="auto"/>
            <w:noWrap/>
            <w:vAlign w:val="bottom"/>
          </w:tcPr>
          <w:p w:rsidR="00FE0200" w:rsidRPr="00890BBC" w:rsidRDefault="00FE0200" w:rsidP="003C352E">
            <w:pPr>
              <w:jc w:val="center"/>
              <w:rPr>
                <w:rFonts w:ascii="Times New Roman" w:hAnsi="Times New Roman" w:cs="Times New Roman"/>
                <w:sz w:val="20"/>
              </w:rPr>
            </w:pPr>
            <w:r w:rsidRPr="00890BBC">
              <w:rPr>
                <w:rFonts w:ascii="Times New Roman" w:hAnsi="Times New Roman" w:cs="Times New Roman"/>
                <w:sz w:val="20"/>
              </w:rPr>
              <w:t>ND</w:t>
            </w:r>
          </w:p>
        </w:tc>
        <w:tc>
          <w:tcPr>
            <w:tcW w:w="990" w:type="dxa"/>
            <w:tcBorders>
              <w:top w:val="single" w:sz="6" w:space="0" w:color="auto"/>
            </w:tcBorders>
            <w:shd w:val="clear" w:color="auto" w:fill="auto"/>
            <w:noWrap/>
            <w:vAlign w:val="bottom"/>
          </w:tcPr>
          <w:p w:rsidR="00FE0200" w:rsidRPr="00890BBC" w:rsidRDefault="00FE0200" w:rsidP="003C352E">
            <w:pPr>
              <w:jc w:val="center"/>
              <w:rPr>
                <w:rFonts w:ascii="Times New Roman" w:hAnsi="Times New Roman" w:cs="Times New Roman"/>
                <w:sz w:val="20"/>
              </w:rPr>
            </w:pPr>
            <w:r w:rsidRPr="00890BBC">
              <w:rPr>
                <w:rFonts w:ascii="Times New Roman" w:hAnsi="Times New Roman" w:cs="Times New Roman"/>
                <w:sz w:val="20"/>
              </w:rPr>
              <w:t>ND</w:t>
            </w:r>
          </w:p>
        </w:tc>
        <w:tc>
          <w:tcPr>
            <w:tcW w:w="1030" w:type="dxa"/>
            <w:tcBorders>
              <w:top w:val="single" w:sz="6" w:space="0" w:color="auto"/>
            </w:tcBorders>
            <w:shd w:val="clear" w:color="auto" w:fill="auto"/>
            <w:noWrap/>
            <w:vAlign w:val="bottom"/>
          </w:tcPr>
          <w:p w:rsidR="00FE0200" w:rsidRPr="00890BBC" w:rsidRDefault="00FE0200" w:rsidP="003C352E">
            <w:pPr>
              <w:jc w:val="center"/>
              <w:rPr>
                <w:rFonts w:ascii="Times New Roman" w:hAnsi="Times New Roman" w:cs="Times New Roman"/>
                <w:sz w:val="20"/>
              </w:rPr>
            </w:pPr>
            <w:r w:rsidRPr="00890BBC">
              <w:rPr>
                <w:rFonts w:ascii="Times New Roman" w:hAnsi="Times New Roman" w:cs="Times New Roman"/>
                <w:sz w:val="20"/>
              </w:rPr>
              <w:t>ND</w:t>
            </w:r>
          </w:p>
        </w:tc>
      </w:tr>
      <w:tr w:rsidR="00FE0200" w:rsidRPr="00890BBC" w:rsidTr="003C352E">
        <w:trPr>
          <w:trHeight w:val="300"/>
        </w:trPr>
        <w:tc>
          <w:tcPr>
            <w:tcW w:w="1535" w:type="dxa"/>
            <w:shd w:val="clear" w:color="auto" w:fill="auto"/>
            <w:noWrap/>
            <w:vAlign w:val="bottom"/>
          </w:tcPr>
          <w:p w:rsidR="00FE0200" w:rsidRPr="00890BBC" w:rsidRDefault="00FE0200" w:rsidP="003C352E">
            <w:pPr>
              <w:jc w:val="center"/>
              <w:rPr>
                <w:rFonts w:ascii="Times New Roman" w:hAnsi="Times New Roman" w:cs="Times New Roman"/>
                <w:sz w:val="20"/>
              </w:rPr>
            </w:pPr>
            <w:r w:rsidRPr="00890BBC">
              <w:rPr>
                <w:rFonts w:ascii="Times New Roman" w:hAnsi="Times New Roman" w:cs="Times New Roman"/>
                <w:sz w:val="20"/>
              </w:rPr>
              <w:t>2</w:t>
            </w:r>
          </w:p>
        </w:tc>
        <w:tc>
          <w:tcPr>
            <w:tcW w:w="990" w:type="dxa"/>
            <w:shd w:val="clear" w:color="auto" w:fill="auto"/>
            <w:noWrap/>
            <w:vAlign w:val="bottom"/>
          </w:tcPr>
          <w:p w:rsidR="00FE0200" w:rsidRPr="00890BBC" w:rsidRDefault="00FE0200" w:rsidP="003C352E">
            <w:pPr>
              <w:jc w:val="center"/>
              <w:rPr>
                <w:rFonts w:ascii="Times New Roman" w:hAnsi="Times New Roman" w:cs="Times New Roman"/>
                <w:b/>
                <w:bCs/>
                <w:sz w:val="20"/>
              </w:rPr>
            </w:pPr>
            <w:r w:rsidRPr="00890BBC">
              <w:rPr>
                <w:rFonts w:ascii="Times New Roman" w:hAnsi="Times New Roman" w:cs="Times New Roman"/>
                <w:b/>
                <w:bCs/>
                <w:sz w:val="20"/>
              </w:rPr>
              <w:t>3.1</w:t>
            </w:r>
          </w:p>
        </w:tc>
        <w:tc>
          <w:tcPr>
            <w:tcW w:w="990" w:type="dxa"/>
            <w:shd w:val="clear" w:color="auto" w:fill="auto"/>
            <w:noWrap/>
            <w:vAlign w:val="bottom"/>
          </w:tcPr>
          <w:p w:rsidR="00FE0200" w:rsidRPr="00890BBC" w:rsidRDefault="00FE0200" w:rsidP="003C352E">
            <w:pPr>
              <w:jc w:val="center"/>
              <w:rPr>
                <w:rFonts w:ascii="Times New Roman" w:hAnsi="Times New Roman" w:cs="Times New Roman"/>
                <w:b/>
                <w:bCs/>
                <w:sz w:val="20"/>
              </w:rPr>
            </w:pPr>
            <w:r w:rsidRPr="00890BBC">
              <w:rPr>
                <w:rFonts w:ascii="Times New Roman" w:hAnsi="Times New Roman" w:cs="Times New Roman"/>
                <w:b/>
                <w:bCs/>
                <w:sz w:val="20"/>
              </w:rPr>
              <w:t>3.1</w:t>
            </w:r>
          </w:p>
        </w:tc>
        <w:tc>
          <w:tcPr>
            <w:tcW w:w="990" w:type="dxa"/>
            <w:shd w:val="clear" w:color="auto" w:fill="auto"/>
            <w:noWrap/>
            <w:vAlign w:val="bottom"/>
          </w:tcPr>
          <w:p w:rsidR="00FE0200" w:rsidRPr="00890BBC" w:rsidRDefault="00FE0200" w:rsidP="003C352E">
            <w:pPr>
              <w:jc w:val="center"/>
              <w:rPr>
                <w:rFonts w:ascii="Times New Roman" w:hAnsi="Times New Roman" w:cs="Times New Roman"/>
                <w:sz w:val="20"/>
              </w:rPr>
            </w:pPr>
            <w:r w:rsidRPr="00890BBC">
              <w:rPr>
                <w:rFonts w:ascii="Times New Roman" w:hAnsi="Times New Roman" w:cs="Times New Roman"/>
                <w:sz w:val="20"/>
              </w:rPr>
              <w:t>ND</w:t>
            </w:r>
          </w:p>
        </w:tc>
        <w:tc>
          <w:tcPr>
            <w:tcW w:w="1080" w:type="dxa"/>
            <w:shd w:val="clear" w:color="auto" w:fill="auto"/>
            <w:noWrap/>
            <w:vAlign w:val="bottom"/>
          </w:tcPr>
          <w:p w:rsidR="00FE0200" w:rsidRPr="00890BBC" w:rsidRDefault="00FE0200" w:rsidP="003C352E">
            <w:pPr>
              <w:jc w:val="center"/>
              <w:rPr>
                <w:rFonts w:ascii="Times New Roman" w:hAnsi="Times New Roman" w:cs="Times New Roman"/>
                <w:b/>
                <w:bCs/>
                <w:sz w:val="20"/>
              </w:rPr>
            </w:pPr>
            <w:r w:rsidRPr="00890BBC">
              <w:rPr>
                <w:rFonts w:ascii="Times New Roman" w:hAnsi="Times New Roman" w:cs="Times New Roman"/>
                <w:b/>
                <w:bCs/>
                <w:sz w:val="20"/>
              </w:rPr>
              <w:t>2.2</w:t>
            </w:r>
          </w:p>
        </w:tc>
        <w:tc>
          <w:tcPr>
            <w:tcW w:w="990" w:type="dxa"/>
            <w:shd w:val="clear" w:color="auto" w:fill="auto"/>
            <w:noWrap/>
            <w:vAlign w:val="bottom"/>
          </w:tcPr>
          <w:p w:rsidR="00FE0200" w:rsidRPr="00890BBC" w:rsidRDefault="00FE0200" w:rsidP="003C352E">
            <w:pPr>
              <w:jc w:val="center"/>
              <w:rPr>
                <w:rFonts w:ascii="Times New Roman" w:hAnsi="Times New Roman" w:cs="Times New Roman"/>
                <w:b/>
                <w:bCs/>
                <w:sz w:val="20"/>
              </w:rPr>
            </w:pPr>
            <w:r w:rsidRPr="00890BBC">
              <w:rPr>
                <w:rFonts w:ascii="Times New Roman" w:hAnsi="Times New Roman" w:cs="Times New Roman"/>
                <w:b/>
                <w:bCs/>
                <w:sz w:val="20"/>
              </w:rPr>
              <w:t>1</w:t>
            </w:r>
          </w:p>
        </w:tc>
        <w:tc>
          <w:tcPr>
            <w:tcW w:w="1080" w:type="dxa"/>
            <w:shd w:val="clear" w:color="auto" w:fill="auto"/>
            <w:noWrap/>
            <w:vAlign w:val="bottom"/>
          </w:tcPr>
          <w:p w:rsidR="00FE0200" w:rsidRPr="00890BBC" w:rsidRDefault="00FE0200" w:rsidP="003C352E">
            <w:pPr>
              <w:jc w:val="center"/>
              <w:rPr>
                <w:rFonts w:ascii="Times New Roman" w:hAnsi="Times New Roman" w:cs="Times New Roman"/>
                <w:sz w:val="20"/>
              </w:rPr>
            </w:pPr>
            <w:r w:rsidRPr="00890BBC">
              <w:rPr>
                <w:rFonts w:ascii="Times New Roman" w:hAnsi="Times New Roman" w:cs="Times New Roman"/>
                <w:sz w:val="20"/>
              </w:rPr>
              <w:t>ND</w:t>
            </w:r>
          </w:p>
        </w:tc>
        <w:tc>
          <w:tcPr>
            <w:tcW w:w="990" w:type="dxa"/>
            <w:shd w:val="clear" w:color="auto" w:fill="auto"/>
            <w:noWrap/>
            <w:vAlign w:val="bottom"/>
          </w:tcPr>
          <w:p w:rsidR="00FE0200" w:rsidRPr="00890BBC" w:rsidRDefault="00FE0200" w:rsidP="003C352E">
            <w:pPr>
              <w:jc w:val="center"/>
              <w:rPr>
                <w:rFonts w:ascii="Times New Roman" w:hAnsi="Times New Roman" w:cs="Times New Roman"/>
                <w:b/>
                <w:bCs/>
                <w:sz w:val="20"/>
              </w:rPr>
            </w:pPr>
            <w:r w:rsidRPr="00890BBC">
              <w:rPr>
                <w:rFonts w:ascii="Times New Roman" w:hAnsi="Times New Roman" w:cs="Times New Roman"/>
                <w:b/>
                <w:bCs/>
                <w:sz w:val="20"/>
              </w:rPr>
              <w:t>5.6</w:t>
            </w:r>
          </w:p>
        </w:tc>
        <w:tc>
          <w:tcPr>
            <w:tcW w:w="1030" w:type="dxa"/>
            <w:shd w:val="clear" w:color="auto" w:fill="auto"/>
            <w:noWrap/>
            <w:vAlign w:val="bottom"/>
          </w:tcPr>
          <w:p w:rsidR="00FE0200" w:rsidRPr="00890BBC" w:rsidRDefault="00FE0200" w:rsidP="003C352E">
            <w:pPr>
              <w:jc w:val="center"/>
              <w:rPr>
                <w:rFonts w:ascii="Times New Roman" w:hAnsi="Times New Roman" w:cs="Times New Roman"/>
                <w:sz w:val="20"/>
              </w:rPr>
            </w:pPr>
            <w:r w:rsidRPr="00890BBC">
              <w:rPr>
                <w:rFonts w:ascii="Times New Roman" w:hAnsi="Times New Roman" w:cs="Times New Roman"/>
                <w:sz w:val="20"/>
              </w:rPr>
              <w:t>ND</w:t>
            </w:r>
          </w:p>
        </w:tc>
      </w:tr>
      <w:tr w:rsidR="00FE0200" w:rsidRPr="00890BBC" w:rsidTr="003C352E">
        <w:trPr>
          <w:trHeight w:val="300"/>
        </w:trPr>
        <w:tc>
          <w:tcPr>
            <w:tcW w:w="1535" w:type="dxa"/>
            <w:shd w:val="clear" w:color="auto" w:fill="auto"/>
            <w:noWrap/>
            <w:vAlign w:val="bottom"/>
          </w:tcPr>
          <w:p w:rsidR="00FE0200" w:rsidRPr="00890BBC" w:rsidRDefault="00FE0200" w:rsidP="003C352E">
            <w:pPr>
              <w:jc w:val="center"/>
              <w:rPr>
                <w:rFonts w:ascii="Times New Roman" w:hAnsi="Times New Roman" w:cs="Times New Roman"/>
                <w:sz w:val="20"/>
              </w:rPr>
            </w:pPr>
            <w:r w:rsidRPr="00890BBC">
              <w:rPr>
                <w:rFonts w:ascii="Times New Roman" w:hAnsi="Times New Roman" w:cs="Times New Roman"/>
                <w:sz w:val="20"/>
              </w:rPr>
              <w:t>4</w:t>
            </w:r>
          </w:p>
        </w:tc>
        <w:tc>
          <w:tcPr>
            <w:tcW w:w="990" w:type="dxa"/>
            <w:shd w:val="clear" w:color="auto" w:fill="auto"/>
            <w:noWrap/>
            <w:vAlign w:val="bottom"/>
          </w:tcPr>
          <w:p w:rsidR="00FE0200" w:rsidRPr="00890BBC" w:rsidRDefault="00FE0200" w:rsidP="003C352E">
            <w:pPr>
              <w:jc w:val="center"/>
              <w:rPr>
                <w:rFonts w:ascii="Times New Roman" w:hAnsi="Times New Roman" w:cs="Times New Roman"/>
                <w:b/>
                <w:bCs/>
                <w:sz w:val="20"/>
              </w:rPr>
            </w:pPr>
            <w:r w:rsidRPr="00890BBC">
              <w:rPr>
                <w:rFonts w:ascii="Times New Roman" w:hAnsi="Times New Roman" w:cs="Times New Roman"/>
                <w:b/>
                <w:bCs/>
                <w:sz w:val="20"/>
              </w:rPr>
              <w:t>1.3</w:t>
            </w:r>
          </w:p>
        </w:tc>
        <w:tc>
          <w:tcPr>
            <w:tcW w:w="990" w:type="dxa"/>
            <w:shd w:val="clear" w:color="auto" w:fill="auto"/>
            <w:noWrap/>
            <w:vAlign w:val="bottom"/>
          </w:tcPr>
          <w:p w:rsidR="00FE0200" w:rsidRPr="00890BBC" w:rsidRDefault="00FE0200" w:rsidP="003C352E">
            <w:pPr>
              <w:jc w:val="center"/>
              <w:rPr>
                <w:rFonts w:ascii="Times New Roman" w:hAnsi="Times New Roman" w:cs="Times New Roman"/>
                <w:b/>
                <w:bCs/>
                <w:sz w:val="20"/>
              </w:rPr>
            </w:pPr>
            <w:r w:rsidRPr="00890BBC">
              <w:rPr>
                <w:rFonts w:ascii="Times New Roman" w:hAnsi="Times New Roman" w:cs="Times New Roman"/>
                <w:b/>
                <w:bCs/>
                <w:sz w:val="20"/>
              </w:rPr>
              <w:t>xx</w:t>
            </w:r>
          </w:p>
        </w:tc>
        <w:tc>
          <w:tcPr>
            <w:tcW w:w="990" w:type="dxa"/>
            <w:shd w:val="clear" w:color="auto" w:fill="auto"/>
            <w:noWrap/>
            <w:vAlign w:val="bottom"/>
          </w:tcPr>
          <w:p w:rsidR="00FE0200" w:rsidRPr="00890BBC" w:rsidRDefault="00FE0200" w:rsidP="003C352E">
            <w:pPr>
              <w:jc w:val="center"/>
              <w:rPr>
                <w:rFonts w:ascii="Times New Roman" w:hAnsi="Times New Roman" w:cs="Times New Roman"/>
                <w:sz w:val="20"/>
              </w:rPr>
            </w:pPr>
            <w:r w:rsidRPr="00890BBC">
              <w:rPr>
                <w:rFonts w:ascii="Times New Roman" w:hAnsi="Times New Roman" w:cs="Times New Roman"/>
                <w:sz w:val="20"/>
              </w:rPr>
              <w:t>ND</w:t>
            </w:r>
          </w:p>
        </w:tc>
        <w:tc>
          <w:tcPr>
            <w:tcW w:w="1080" w:type="dxa"/>
            <w:shd w:val="clear" w:color="auto" w:fill="auto"/>
            <w:noWrap/>
            <w:vAlign w:val="bottom"/>
          </w:tcPr>
          <w:p w:rsidR="00FE0200" w:rsidRPr="00890BBC" w:rsidRDefault="00FE0200" w:rsidP="003C352E">
            <w:pPr>
              <w:jc w:val="center"/>
              <w:rPr>
                <w:rFonts w:ascii="Times New Roman" w:hAnsi="Times New Roman" w:cs="Times New Roman"/>
                <w:b/>
                <w:bCs/>
                <w:sz w:val="20"/>
              </w:rPr>
            </w:pPr>
            <w:r w:rsidRPr="00890BBC">
              <w:rPr>
                <w:rFonts w:ascii="Times New Roman" w:hAnsi="Times New Roman" w:cs="Times New Roman"/>
                <w:b/>
                <w:bCs/>
                <w:sz w:val="20"/>
              </w:rPr>
              <w:t>4.1</w:t>
            </w:r>
          </w:p>
        </w:tc>
        <w:tc>
          <w:tcPr>
            <w:tcW w:w="990" w:type="dxa"/>
            <w:shd w:val="clear" w:color="auto" w:fill="auto"/>
            <w:noWrap/>
            <w:vAlign w:val="bottom"/>
          </w:tcPr>
          <w:p w:rsidR="00FE0200" w:rsidRPr="00890BBC" w:rsidRDefault="00FE0200" w:rsidP="003C352E">
            <w:pPr>
              <w:jc w:val="center"/>
              <w:rPr>
                <w:rFonts w:ascii="Times New Roman" w:hAnsi="Times New Roman" w:cs="Times New Roman"/>
                <w:sz w:val="20"/>
              </w:rPr>
            </w:pPr>
            <w:r w:rsidRPr="00890BBC">
              <w:rPr>
                <w:rFonts w:ascii="Times New Roman" w:hAnsi="Times New Roman" w:cs="Times New Roman"/>
                <w:sz w:val="20"/>
              </w:rPr>
              <w:t>ND</w:t>
            </w:r>
          </w:p>
        </w:tc>
        <w:tc>
          <w:tcPr>
            <w:tcW w:w="1080" w:type="dxa"/>
            <w:shd w:val="clear" w:color="auto" w:fill="auto"/>
            <w:noWrap/>
            <w:vAlign w:val="bottom"/>
          </w:tcPr>
          <w:p w:rsidR="00FE0200" w:rsidRPr="00890BBC" w:rsidRDefault="00FE0200" w:rsidP="003C352E">
            <w:pPr>
              <w:jc w:val="center"/>
              <w:rPr>
                <w:rFonts w:ascii="Times New Roman" w:hAnsi="Times New Roman" w:cs="Times New Roman"/>
                <w:b/>
                <w:bCs/>
                <w:sz w:val="20"/>
              </w:rPr>
            </w:pPr>
            <w:r w:rsidRPr="00890BBC">
              <w:rPr>
                <w:rFonts w:ascii="Times New Roman" w:hAnsi="Times New Roman" w:cs="Times New Roman"/>
                <w:b/>
                <w:bCs/>
                <w:sz w:val="20"/>
              </w:rPr>
              <w:t>2.7</w:t>
            </w:r>
          </w:p>
        </w:tc>
        <w:tc>
          <w:tcPr>
            <w:tcW w:w="990" w:type="dxa"/>
            <w:shd w:val="clear" w:color="auto" w:fill="auto"/>
            <w:noWrap/>
            <w:vAlign w:val="bottom"/>
          </w:tcPr>
          <w:p w:rsidR="00FE0200" w:rsidRPr="00890BBC" w:rsidRDefault="00FE0200" w:rsidP="003C352E">
            <w:pPr>
              <w:jc w:val="center"/>
              <w:rPr>
                <w:rFonts w:ascii="Times New Roman" w:hAnsi="Times New Roman" w:cs="Times New Roman"/>
                <w:b/>
                <w:bCs/>
                <w:sz w:val="20"/>
              </w:rPr>
            </w:pPr>
            <w:r w:rsidRPr="00890BBC">
              <w:rPr>
                <w:rFonts w:ascii="Times New Roman" w:hAnsi="Times New Roman" w:cs="Times New Roman"/>
                <w:b/>
                <w:bCs/>
                <w:sz w:val="20"/>
              </w:rPr>
              <w:t>2.9</w:t>
            </w:r>
          </w:p>
        </w:tc>
        <w:tc>
          <w:tcPr>
            <w:tcW w:w="1030" w:type="dxa"/>
            <w:shd w:val="clear" w:color="auto" w:fill="auto"/>
            <w:noWrap/>
            <w:vAlign w:val="bottom"/>
          </w:tcPr>
          <w:p w:rsidR="00FE0200" w:rsidRPr="00890BBC" w:rsidRDefault="00FE0200" w:rsidP="003C352E">
            <w:pPr>
              <w:jc w:val="center"/>
              <w:rPr>
                <w:rFonts w:ascii="Times New Roman" w:hAnsi="Times New Roman" w:cs="Times New Roman"/>
                <w:sz w:val="20"/>
              </w:rPr>
            </w:pPr>
            <w:r w:rsidRPr="00890BBC">
              <w:rPr>
                <w:rFonts w:ascii="Times New Roman" w:hAnsi="Times New Roman" w:cs="Times New Roman"/>
                <w:sz w:val="20"/>
              </w:rPr>
              <w:t>ND</w:t>
            </w:r>
          </w:p>
        </w:tc>
      </w:tr>
      <w:tr w:rsidR="00FE0200" w:rsidRPr="00890BBC" w:rsidTr="003C352E">
        <w:tc>
          <w:tcPr>
            <w:tcW w:w="1535" w:type="dxa"/>
            <w:shd w:val="clear" w:color="auto" w:fill="auto"/>
            <w:noWrap/>
            <w:vAlign w:val="bottom"/>
          </w:tcPr>
          <w:p w:rsidR="00FE0200" w:rsidRPr="00890BBC" w:rsidRDefault="00FE0200" w:rsidP="003C352E">
            <w:pPr>
              <w:jc w:val="center"/>
              <w:rPr>
                <w:rFonts w:ascii="Times New Roman" w:hAnsi="Times New Roman" w:cs="Times New Roman"/>
                <w:sz w:val="20"/>
              </w:rPr>
            </w:pPr>
            <w:r w:rsidRPr="00890BBC">
              <w:rPr>
                <w:rFonts w:ascii="Times New Roman" w:hAnsi="Times New Roman" w:cs="Times New Roman"/>
                <w:sz w:val="20"/>
              </w:rPr>
              <w:t>8</w:t>
            </w:r>
          </w:p>
        </w:tc>
        <w:tc>
          <w:tcPr>
            <w:tcW w:w="990" w:type="dxa"/>
            <w:shd w:val="clear" w:color="auto" w:fill="auto"/>
            <w:noWrap/>
            <w:vAlign w:val="bottom"/>
          </w:tcPr>
          <w:p w:rsidR="00FE0200" w:rsidRPr="00890BBC" w:rsidRDefault="00FE0200" w:rsidP="003C352E">
            <w:pPr>
              <w:jc w:val="center"/>
              <w:rPr>
                <w:rFonts w:ascii="Times New Roman" w:hAnsi="Times New Roman" w:cs="Times New Roman"/>
                <w:b/>
                <w:bCs/>
                <w:sz w:val="20"/>
              </w:rPr>
            </w:pPr>
            <w:r w:rsidRPr="00890BBC">
              <w:rPr>
                <w:rFonts w:ascii="Times New Roman" w:hAnsi="Times New Roman" w:cs="Times New Roman"/>
                <w:b/>
                <w:bCs/>
                <w:sz w:val="20"/>
              </w:rPr>
              <w:t>3.4</w:t>
            </w:r>
          </w:p>
        </w:tc>
        <w:tc>
          <w:tcPr>
            <w:tcW w:w="990" w:type="dxa"/>
            <w:shd w:val="clear" w:color="auto" w:fill="auto"/>
            <w:noWrap/>
            <w:vAlign w:val="bottom"/>
          </w:tcPr>
          <w:p w:rsidR="00FE0200" w:rsidRPr="00890BBC" w:rsidRDefault="00FE0200" w:rsidP="003C352E">
            <w:pPr>
              <w:jc w:val="center"/>
              <w:rPr>
                <w:rFonts w:ascii="Times New Roman" w:hAnsi="Times New Roman" w:cs="Times New Roman"/>
                <w:b/>
                <w:bCs/>
                <w:sz w:val="20"/>
              </w:rPr>
            </w:pPr>
            <w:r w:rsidRPr="00890BBC">
              <w:rPr>
                <w:rFonts w:ascii="Times New Roman" w:hAnsi="Times New Roman" w:cs="Times New Roman"/>
                <w:b/>
                <w:bCs/>
                <w:sz w:val="20"/>
              </w:rPr>
              <w:t>1.7</w:t>
            </w:r>
          </w:p>
        </w:tc>
        <w:tc>
          <w:tcPr>
            <w:tcW w:w="990" w:type="dxa"/>
            <w:shd w:val="clear" w:color="auto" w:fill="auto"/>
            <w:noWrap/>
            <w:vAlign w:val="bottom"/>
          </w:tcPr>
          <w:p w:rsidR="00FE0200" w:rsidRPr="00890BBC" w:rsidRDefault="00FE0200" w:rsidP="003C352E">
            <w:pPr>
              <w:jc w:val="center"/>
              <w:rPr>
                <w:rFonts w:ascii="Times New Roman" w:hAnsi="Times New Roman" w:cs="Times New Roman"/>
                <w:b/>
                <w:bCs/>
                <w:sz w:val="20"/>
              </w:rPr>
            </w:pPr>
            <w:r w:rsidRPr="00890BBC">
              <w:rPr>
                <w:rFonts w:ascii="Times New Roman" w:hAnsi="Times New Roman" w:cs="Times New Roman"/>
                <w:b/>
                <w:bCs/>
                <w:sz w:val="20"/>
              </w:rPr>
              <w:t>18</w:t>
            </w:r>
          </w:p>
        </w:tc>
        <w:tc>
          <w:tcPr>
            <w:tcW w:w="1080" w:type="dxa"/>
            <w:shd w:val="clear" w:color="auto" w:fill="auto"/>
            <w:noWrap/>
            <w:vAlign w:val="bottom"/>
          </w:tcPr>
          <w:p w:rsidR="00FE0200" w:rsidRPr="00890BBC" w:rsidRDefault="00FE0200" w:rsidP="003C352E">
            <w:pPr>
              <w:jc w:val="center"/>
              <w:rPr>
                <w:rFonts w:ascii="Times New Roman" w:hAnsi="Times New Roman" w:cs="Times New Roman"/>
                <w:b/>
                <w:bCs/>
                <w:sz w:val="20"/>
              </w:rPr>
            </w:pPr>
            <w:r w:rsidRPr="00890BBC">
              <w:rPr>
                <w:rFonts w:ascii="Times New Roman" w:hAnsi="Times New Roman" w:cs="Times New Roman"/>
                <w:b/>
                <w:bCs/>
                <w:sz w:val="20"/>
              </w:rPr>
              <w:t>4.1</w:t>
            </w:r>
          </w:p>
        </w:tc>
        <w:tc>
          <w:tcPr>
            <w:tcW w:w="990" w:type="dxa"/>
            <w:shd w:val="clear" w:color="auto" w:fill="auto"/>
            <w:noWrap/>
            <w:vAlign w:val="bottom"/>
          </w:tcPr>
          <w:p w:rsidR="00FE0200" w:rsidRPr="00890BBC" w:rsidRDefault="00FE0200" w:rsidP="003C352E">
            <w:pPr>
              <w:jc w:val="center"/>
              <w:rPr>
                <w:rFonts w:ascii="Times New Roman" w:hAnsi="Times New Roman" w:cs="Times New Roman"/>
                <w:sz w:val="20"/>
              </w:rPr>
            </w:pPr>
            <w:r w:rsidRPr="00890BBC">
              <w:rPr>
                <w:rFonts w:ascii="Times New Roman" w:hAnsi="Times New Roman" w:cs="Times New Roman"/>
                <w:sz w:val="20"/>
              </w:rPr>
              <w:t>ND</w:t>
            </w:r>
          </w:p>
        </w:tc>
        <w:tc>
          <w:tcPr>
            <w:tcW w:w="1080" w:type="dxa"/>
            <w:shd w:val="clear" w:color="auto" w:fill="auto"/>
            <w:noWrap/>
            <w:vAlign w:val="bottom"/>
          </w:tcPr>
          <w:p w:rsidR="00FE0200" w:rsidRPr="00890BBC" w:rsidRDefault="00FE0200" w:rsidP="003C352E">
            <w:pPr>
              <w:jc w:val="center"/>
              <w:rPr>
                <w:rFonts w:ascii="Times New Roman" w:hAnsi="Times New Roman" w:cs="Times New Roman"/>
                <w:b/>
                <w:bCs/>
                <w:sz w:val="20"/>
              </w:rPr>
            </w:pPr>
            <w:r w:rsidRPr="00890BBC">
              <w:rPr>
                <w:rFonts w:ascii="Times New Roman" w:hAnsi="Times New Roman" w:cs="Times New Roman"/>
                <w:b/>
                <w:bCs/>
                <w:sz w:val="20"/>
              </w:rPr>
              <w:t>1.5</w:t>
            </w:r>
          </w:p>
        </w:tc>
        <w:tc>
          <w:tcPr>
            <w:tcW w:w="990" w:type="dxa"/>
            <w:shd w:val="clear" w:color="auto" w:fill="auto"/>
            <w:noWrap/>
            <w:vAlign w:val="bottom"/>
          </w:tcPr>
          <w:p w:rsidR="00FE0200" w:rsidRPr="00890BBC" w:rsidRDefault="00FE0200" w:rsidP="003C352E">
            <w:pPr>
              <w:jc w:val="center"/>
              <w:rPr>
                <w:rFonts w:ascii="Times New Roman" w:hAnsi="Times New Roman" w:cs="Times New Roman"/>
                <w:sz w:val="20"/>
              </w:rPr>
            </w:pPr>
            <w:r w:rsidRPr="00890BBC">
              <w:rPr>
                <w:rFonts w:ascii="Times New Roman" w:hAnsi="Times New Roman" w:cs="Times New Roman"/>
                <w:sz w:val="20"/>
              </w:rPr>
              <w:t>ND</w:t>
            </w:r>
          </w:p>
        </w:tc>
        <w:tc>
          <w:tcPr>
            <w:tcW w:w="1030" w:type="dxa"/>
            <w:shd w:val="clear" w:color="auto" w:fill="auto"/>
            <w:noWrap/>
            <w:vAlign w:val="bottom"/>
          </w:tcPr>
          <w:p w:rsidR="00FE0200" w:rsidRPr="00890BBC" w:rsidRDefault="00FE0200" w:rsidP="003C352E">
            <w:pPr>
              <w:jc w:val="center"/>
              <w:rPr>
                <w:rFonts w:ascii="Times New Roman" w:hAnsi="Times New Roman" w:cs="Times New Roman"/>
                <w:b/>
                <w:bCs/>
                <w:sz w:val="20"/>
              </w:rPr>
            </w:pPr>
            <w:r w:rsidRPr="00890BBC">
              <w:rPr>
                <w:rFonts w:ascii="Times New Roman" w:hAnsi="Times New Roman" w:cs="Times New Roman"/>
                <w:b/>
                <w:bCs/>
                <w:sz w:val="20"/>
              </w:rPr>
              <w:t>1.1</w:t>
            </w:r>
          </w:p>
        </w:tc>
      </w:tr>
      <w:tr w:rsidR="00FE0200" w:rsidRPr="00890BBC" w:rsidTr="003C352E">
        <w:trPr>
          <w:trHeight w:val="300"/>
        </w:trPr>
        <w:tc>
          <w:tcPr>
            <w:tcW w:w="1535" w:type="dxa"/>
            <w:shd w:val="clear" w:color="auto" w:fill="auto"/>
            <w:noWrap/>
            <w:vAlign w:val="bottom"/>
          </w:tcPr>
          <w:p w:rsidR="00FE0200" w:rsidRPr="00890BBC" w:rsidRDefault="00FE0200" w:rsidP="003C352E">
            <w:pPr>
              <w:jc w:val="center"/>
              <w:rPr>
                <w:rFonts w:ascii="Times New Roman" w:hAnsi="Times New Roman" w:cs="Times New Roman"/>
                <w:sz w:val="20"/>
              </w:rPr>
            </w:pPr>
            <w:r w:rsidRPr="00890BBC">
              <w:rPr>
                <w:rFonts w:ascii="Times New Roman" w:hAnsi="Times New Roman" w:cs="Times New Roman"/>
                <w:sz w:val="20"/>
              </w:rPr>
              <w:t>12</w:t>
            </w:r>
          </w:p>
        </w:tc>
        <w:tc>
          <w:tcPr>
            <w:tcW w:w="990" w:type="dxa"/>
            <w:shd w:val="clear" w:color="auto" w:fill="auto"/>
            <w:noWrap/>
            <w:vAlign w:val="bottom"/>
          </w:tcPr>
          <w:p w:rsidR="00FE0200" w:rsidRPr="00890BBC" w:rsidRDefault="00FE0200" w:rsidP="003C352E">
            <w:pPr>
              <w:jc w:val="center"/>
              <w:rPr>
                <w:rFonts w:ascii="Times New Roman" w:hAnsi="Times New Roman" w:cs="Times New Roman"/>
                <w:b/>
                <w:bCs/>
                <w:sz w:val="20"/>
              </w:rPr>
            </w:pPr>
            <w:r w:rsidRPr="00890BBC">
              <w:rPr>
                <w:rFonts w:ascii="Times New Roman" w:hAnsi="Times New Roman" w:cs="Times New Roman"/>
                <w:b/>
                <w:bCs/>
                <w:sz w:val="20"/>
              </w:rPr>
              <w:t>1.8</w:t>
            </w:r>
          </w:p>
        </w:tc>
        <w:tc>
          <w:tcPr>
            <w:tcW w:w="990" w:type="dxa"/>
            <w:shd w:val="clear" w:color="auto" w:fill="auto"/>
            <w:noWrap/>
            <w:vAlign w:val="bottom"/>
          </w:tcPr>
          <w:p w:rsidR="00FE0200" w:rsidRPr="00890BBC" w:rsidRDefault="00FE0200" w:rsidP="003C352E">
            <w:pPr>
              <w:jc w:val="center"/>
              <w:rPr>
                <w:rFonts w:ascii="Times New Roman" w:hAnsi="Times New Roman" w:cs="Times New Roman"/>
                <w:sz w:val="20"/>
              </w:rPr>
            </w:pPr>
            <w:r w:rsidRPr="00890BBC">
              <w:rPr>
                <w:rFonts w:ascii="Times New Roman" w:hAnsi="Times New Roman" w:cs="Times New Roman"/>
                <w:sz w:val="20"/>
              </w:rPr>
              <w:t>ND</w:t>
            </w:r>
          </w:p>
        </w:tc>
        <w:tc>
          <w:tcPr>
            <w:tcW w:w="990" w:type="dxa"/>
            <w:shd w:val="clear" w:color="auto" w:fill="auto"/>
            <w:noWrap/>
            <w:vAlign w:val="bottom"/>
          </w:tcPr>
          <w:p w:rsidR="00FE0200" w:rsidRPr="00890BBC" w:rsidRDefault="00FE0200" w:rsidP="003C352E">
            <w:pPr>
              <w:jc w:val="center"/>
              <w:rPr>
                <w:rFonts w:ascii="Times New Roman" w:hAnsi="Times New Roman" w:cs="Times New Roman"/>
                <w:b/>
                <w:bCs/>
                <w:sz w:val="20"/>
              </w:rPr>
            </w:pPr>
            <w:r w:rsidRPr="00890BBC">
              <w:rPr>
                <w:rFonts w:ascii="Times New Roman" w:hAnsi="Times New Roman" w:cs="Times New Roman"/>
                <w:b/>
                <w:bCs/>
                <w:sz w:val="20"/>
              </w:rPr>
              <w:t>2.5</w:t>
            </w:r>
          </w:p>
        </w:tc>
        <w:tc>
          <w:tcPr>
            <w:tcW w:w="1080" w:type="dxa"/>
            <w:shd w:val="clear" w:color="auto" w:fill="auto"/>
            <w:noWrap/>
            <w:vAlign w:val="bottom"/>
          </w:tcPr>
          <w:p w:rsidR="00FE0200" w:rsidRPr="00890BBC" w:rsidRDefault="00FE0200" w:rsidP="003C352E">
            <w:pPr>
              <w:jc w:val="center"/>
              <w:rPr>
                <w:rFonts w:ascii="Times New Roman" w:hAnsi="Times New Roman" w:cs="Times New Roman"/>
                <w:b/>
                <w:bCs/>
                <w:sz w:val="20"/>
              </w:rPr>
            </w:pPr>
            <w:r w:rsidRPr="00890BBC">
              <w:rPr>
                <w:rFonts w:ascii="Times New Roman" w:hAnsi="Times New Roman" w:cs="Times New Roman"/>
                <w:b/>
                <w:bCs/>
                <w:sz w:val="20"/>
              </w:rPr>
              <w:t>1.5</w:t>
            </w:r>
          </w:p>
        </w:tc>
        <w:tc>
          <w:tcPr>
            <w:tcW w:w="990" w:type="dxa"/>
            <w:shd w:val="clear" w:color="auto" w:fill="auto"/>
            <w:noWrap/>
            <w:vAlign w:val="bottom"/>
          </w:tcPr>
          <w:p w:rsidR="00FE0200" w:rsidRPr="00890BBC" w:rsidRDefault="00FE0200" w:rsidP="003C352E">
            <w:pPr>
              <w:jc w:val="center"/>
              <w:rPr>
                <w:rFonts w:ascii="Times New Roman" w:hAnsi="Times New Roman" w:cs="Times New Roman"/>
                <w:sz w:val="20"/>
              </w:rPr>
            </w:pPr>
            <w:r w:rsidRPr="00890BBC">
              <w:rPr>
                <w:rFonts w:ascii="Times New Roman" w:hAnsi="Times New Roman" w:cs="Times New Roman"/>
                <w:sz w:val="20"/>
              </w:rPr>
              <w:t>ND</w:t>
            </w:r>
          </w:p>
        </w:tc>
        <w:tc>
          <w:tcPr>
            <w:tcW w:w="1080" w:type="dxa"/>
            <w:shd w:val="clear" w:color="auto" w:fill="auto"/>
            <w:noWrap/>
            <w:vAlign w:val="bottom"/>
          </w:tcPr>
          <w:p w:rsidR="00FE0200" w:rsidRPr="00890BBC" w:rsidRDefault="00FE0200" w:rsidP="003C352E">
            <w:pPr>
              <w:jc w:val="center"/>
              <w:rPr>
                <w:rFonts w:ascii="Times New Roman" w:hAnsi="Times New Roman" w:cs="Times New Roman"/>
                <w:sz w:val="20"/>
              </w:rPr>
            </w:pPr>
            <w:r w:rsidRPr="00890BBC">
              <w:rPr>
                <w:rFonts w:ascii="Times New Roman" w:hAnsi="Times New Roman" w:cs="Times New Roman"/>
                <w:sz w:val="20"/>
              </w:rPr>
              <w:t>ND</w:t>
            </w:r>
          </w:p>
        </w:tc>
        <w:tc>
          <w:tcPr>
            <w:tcW w:w="990" w:type="dxa"/>
            <w:shd w:val="clear" w:color="auto" w:fill="auto"/>
            <w:noWrap/>
            <w:vAlign w:val="bottom"/>
          </w:tcPr>
          <w:p w:rsidR="00FE0200" w:rsidRPr="00890BBC" w:rsidRDefault="00FE0200" w:rsidP="003C352E">
            <w:pPr>
              <w:jc w:val="center"/>
              <w:rPr>
                <w:rFonts w:ascii="Times New Roman" w:hAnsi="Times New Roman" w:cs="Times New Roman"/>
                <w:sz w:val="20"/>
              </w:rPr>
            </w:pPr>
            <w:r w:rsidRPr="00890BBC">
              <w:rPr>
                <w:rFonts w:ascii="Times New Roman" w:hAnsi="Times New Roman" w:cs="Times New Roman"/>
                <w:sz w:val="20"/>
              </w:rPr>
              <w:t>ND</w:t>
            </w:r>
          </w:p>
        </w:tc>
        <w:tc>
          <w:tcPr>
            <w:tcW w:w="1030" w:type="dxa"/>
            <w:shd w:val="clear" w:color="auto" w:fill="auto"/>
            <w:noWrap/>
            <w:vAlign w:val="bottom"/>
          </w:tcPr>
          <w:p w:rsidR="00FE0200" w:rsidRPr="00890BBC" w:rsidRDefault="00FE0200" w:rsidP="003C352E">
            <w:pPr>
              <w:jc w:val="center"/>
              <w:rPr>
                <w:rFonts w:ascii="Times New Roman" w:hAnsi="Times New Roman" w:cs="Times New Roman"/>
                <w:sz w:val="20"/>
              </w:rPr>
            </w:pPr>
            <w:r w:rsidRPr="00890BBC">
              <w:rPr>
                <w:rFonts w:ascii="Times New Roman" w:hAnsi="Times New Roman" w:cs="Times New Roman"/>
                <w:sz w:val="20"/>
              </w:rPr>
              <w:t>ND</w:t>
            </w:r>
          </w:p>
        </w:tc>
      </w:tr>
      <w:tr w:rsidR="00FE0200" w:rsidRPr="00890BBC" w:rsidTr="003C352E">
        <w:trPr>
          <w:trHeight w:val="300"/>
        </w:trPr>
        <w:tc>
          <w:tcPr>
            <w:tcW w:w="1535" w:type="dxa"/>
            <w:shd w:val="clear" w:color="auto" w:fill="auto"/>
            <w:noWrap/>
            <w:vAlign w:val="bottom"/>
          </w:tcPr>
          <w:p w:rsidR="00FE0200" w:rsidRPr="00890BBC" w:rsidRDefault="00FE0200" w:rsidP="003C352E">
            <w:pPr>
              <w:jc w:val="center"/>
              <w:rPr>
                <w:rFonts w:ascii="Times New Roman" w:hAnsi="Times New Roman" w:cs="Times New Roman"/>
                <w:sz w:val="20"/>
              </w:rPr>
            </w:pPr>
            <w:r>
              <w:rPr>
                <w:rFonts w:ascii="Times New Roman" w:hAnsi="Times New Roman" w:cs="Times New Roman"/>
                <w:sz w:val="20"/>
              </w:rPr>
              <w:t>AUC with Imputation of 0.671 for ND (</w:t>
            </w:r>
            <w:proofErr w:type="spellStart"/>
            <w:r>
              <w:rPr>
                <w:rFonts w:ascii="Times New Roman" w:hAnsi="Times New Roman" w:cs="Times New Roman"/>
                <w:sz w:val="20"/>
              </w:rPr>
              <w:t>ng</w:t>
            </w:r>
            <w:proofErr w:type="spellEnd"/>
            <w:r>
              <w:rPr>
                <w:rFonts w:ascii="Times New Roman" w:hAnsi="Times New Roman" w:cs="Times New Roman"/>
                <w:sz w:val="20"/>
              </w:rPr>
              <w:t>-hr/ml)</w:t>
            </w:r>
          </w:p>
        </w:tc>
        <w:tc>
          <w:tcPr>
            <w:tcW w:w="990" w:type="dxa"/>
            <w:shd w:val="clear" w:color="auto" w:fill="auto"/>
            <w:noWrap/>
            <w:vAlign w:val="bottom"/>
          </w:tcPr>
          <w:p w:rsidR="00FE0200" w:rsidRPr="00475C3F" w:rsidRDefault="00FE0200" w:rsidP="003C352E">
            <w:pPr>
              <w:jc w:val="center"/>
              <w:rPr>
                <w:rFonts w:ascii="Times New Roman" w:hAnsi="Times New Roman" w:cs="Times New Roman"/>
                <w:b/>
                <w:bCs/>
                <w:sz w:val="20"/>
                <w:szCs w:val="20"/>
              </w:rPr>
            </w:pPr>
            <w:r w:rsidRPr="00475C3F">
              <w:rPr>
                <w:rFonts w:ascii="Times New Roman" w:eastAsia="Times New Roman" w:hAnsi="Times New Roman" w:cs="Times New Roman"/>
                <w:color w:val="000000"/>
                <w:sz w:val="20"/>
                <w:szCs w:val="20"/>
              </w:rPr>
              <w:t>28.0</w:t>
            </w:r>
          </w:p>
        </w:tc>
        <w:tc>
          <w:tcPr>
            <w:tcW w:w="990" w:type="dxa"/>
            <w:shd w:val="clear" w:color="auto" w:fill="auto"/>
            <w:noWrap/>
            <w:vAlign w:val="bottom"/>
          </w:tcPr>
          <w:p w:rsidR="00FE0200" w:rsidRPr="00475C3F" w:rsidRDefault="00FE0200" w:rsidP="003C352E">
            <w:pPr>
              <w:jc w:val="center"/>
              <w:rPr>
                <w:rFonts w:ascii="Times New Roman" w:hAnsi="Times New Roman" w:cs="Times New Roman"/>
                <w:sz w:val="20"/>
                <w:szCs w:val="20"/>
              </w:rPr>
            </w:pPr>
            <w:r w:rsidRPr="00475C3F">
              <w:rPr>
                <w:rFonts w:ascii="Times New Roman" w:eastAsia="Times New Roman" w:hAnsi="Times New Roman" w:cs="Times New Roman"/>
                <w:color w:val="000000"/>
                <w:sz w:val="20"/>
                <w:szCs w:val="20"/>
              </w:rPr>
              <w:t>22.9</w:t>
            </w:r>
          </w:p>
        </w:tc>
        <w:tc>
          <w:tcPr>
            <w:tcW w:w="990" w:type="dxa"/>
            <w:shd w:val="clear" w:color="auto" w:fill="auto"/>
            <w:noWrap/>
            <w:vAlign w:val="bottom"/>
          </w:tcPr>
          <w:p w:rsidR="00FE0200" w:rsidRPr="00475C3F" w:rsidRDefault="00FE0200" w:rsidP="003C352E">
            <w:pPr>
              <w:jc w:val="center"/>
              <w:rPr>
                <w:rFonts w:ascii="Times New Roman" w:hAnsi="Times New Roman" w:cs="Times New Roman"/>
                <w:b/>
                <w:bCs/>
                <w:sz w:val="20"/>
                <w:szCs w:val="20"/>
              </w:rPr>
            </w:pPr>
            <w:r w:rsidRPr="00475C3F">
              <w:rPr>
                <w:rFonts w:ascii="Times New Roman" w:eastAsia="Times New Roman" w:hAnsi="Times New Roman" w:cs="Times New Roman"/>
                <w:color w:val="000000"/>
                <w:sz w:val="20"/>
                <w:szCs w:val="20"/>
              </w:rPr>
              <w:t>81.0</w:t>
            </w:r>
          </w:p>
        </w:tc>
        <w:tc>
          <w:tcPr>
            <w:tcW w:w="1080" w:type="dxa"/>
            <w:shd w:val="clear" w:color="auto" w:fill="auto"/>
            <w:noWrap/>
            <w:vAlign w:val="bottom"/>
          </w:tcPr>
          <w:p w:rsidR="00FE0200" w:rsidRPr="00475C3F" w:rsidRDefault="00FE0200" w:rsidP="003C352E">
            <w:pPr>
              <w:jc w:val="center"/>
              <w:rPr>
                <w:rFonts w:ascii="Times New Roman" w:hAnsi="Times New Roman" w:cs="Times New Roman"/>
                <w:b/>
                <w:bCs/>
                <w:sz w:val="20"/>
                <w:szCs w:val="20"/>
              </w:rPr>
            </w:pPr>
            <w:r w:rsidRPr="00475C3F">
              <w:rPr>
                <w:rFonts w:ascii="Times New Roman" w:eastAsia="Times New Roman" w:hAnsi="Times New Roman" w:cs="Times New Roman"/>
                <w:color w:val="000000"/>
                <w:sz w:val="20"/>
                <w:szCs w:val="20"/>
              </w:rPr>
              <w:t>36.8</w:t>
            </w:r>
          </w:p>
        </w:tc>
        <w:tc>
          <w:tcPr>
            <w:tcW w:w="990" w:type="dxa"/>
            <w:shd w:val="clear" w:color="auto" w:fill="auto"/>
            <w:noWrap/>
            <w:vAlign w:val="bottom"/>
          </w:tcPr>
          <w:p w:rsidR="00FE0200" w:rsidRPr="00475C3F" w:rsidRDefault="00FE0200" w:rsidP="003C352E">
            <w:pPr>
              <w:jc w:val="center"/>
              <w:rPr>
                <w:rFonts w:ascii="Times New Roman" w:hAnsi="Times New Roman" w:cs="Times New Roman"/>
                <w:sz w:val="20"/>
                <w:szCs w:val="20"/>
              </w:rPr>
            </w:pPr>
            <w:r w:rsidRPr="00475C3F">
              <w:rPr>
                <w:rFonts w:ascii="Times New Roman" w:eastAsia="Times New Roman" w:hAnsi="Times New Roman" w:cs="Times New Roman"/>
                <w:color w:val="000000"/>
                <w:sz w:val="20"/>
                <w:szCs w:val="20"/>
              </w:rPr>
              <w:t>9.0</w:t>
            </w:r>
          </w:p>
        </w:tc>
        <w:tc>
          <w:tcPr>
            <w:tcW w:w="1080" w:type="dxa"/>
            <w:shd w:val="clear" w:color="auto" w:fill="auto"/>
            <w:noWrap/>
            <w:vAlign w:val="bottom"/>
          </w:tcPr>
          <w:p w:rsidR="00FE0200" w:rsidRPr="00475C3F" w:rsidRDefault="00FE0200" w:rsidP="003C352E">
            <w:pPr>
              <w:jc w:val="center"/>
              <w:rPr>
                <w:rFonts w:ascii="Times New Roman" w:hAnsi="Times New Roman" w:cs="Times New Roman"/>
                <w:sz w:val="20"/>
                <w:szCs w:val="20"/>
              </w:rPr>
            </w:pPr>
            <w:r w:rsidRPr="00475C3F">
              <w:rPr>
                <w:rFonts w:ascii="Times New Roman" w:eastAsia="Times New Roman" w:hAnsi="Times New Roman" w:cs="Times New Roman"/>
                <w:color w:val="000000"/>
                <w:sz w:val="20"/>
                <w:szCs w:val="20"/>
              </w:rPr>
              <w:t>17.5</w:t>
            </w:r>
          </w:p>
        </w:tc>
        <w:tc>
          <w:tcPr>
            <w:tcW w:w="990" w:type="dxa"/>
            <w:shd w:val="clear" w:color="auto" w:fill="auto"/>
            <w:noWrap/>
            <w:vAlign w:val="bottom"/>
          </w:tcPr>
          <w:p w:rsidR="00FE0200" w:rsidRPr="00475C3F" w:rsidRDefault="00FE0200" w:rsidP="003C352E">
            <w:pPr>
              <w:jc w:val="center"/>
              <w:rPr>
                <w:rFonts w:ascii="Times New Roman" w:hAnsi="Times New Roman" w:cs="Times New Roman"/>
                <w:sz w:val="20"/>
                <w:szCs w:val="20"/>
              </w:rPr>
            </w:pPr>
            <w:r w:rsidRPr="00475C3F">
              <w:rPr>
                <w:rFonts w:ascii="Times New Roman" w:eastAsia="Times New Roman" w:hAnsi="Times New Roman" w:cs="Times New Roman"/>
                <w:color w:val="000000"/>
                <w:sz w:val="20"/>
                <w:szCs w:val="20"/>
              </w:rPr>
              <w:t>24.6</w:t>
            </w:r>
          </w:p>
        </w:tc>
        <w:tc>
          <w:tcPr>
            <w:tcW w:w="1030" w:type="dxa"/>
            <w:shd w:val="clear" w:color="auto" w:fill="auto"/>
            <w:noWrap/>
            <w:vAlign w:val="bottom"/>
          </w:tcPr>
          <w:p w:rsidR="00FE0200" w:rsidRPr="00475C3F" w:rsidRDefault="00FE0200" w:rsidP="003C352E">
            <w:pPr>
              <w:jc w:val="center"/>
              <w:rPr>
                <w:rFonts w:ascii="Times New Roman" w:hAnsi="Times New Roman" w:cs="Times New Roman"/>
                <w:sz w:val="20"/>
                <w:szCs w:val="20"/>
              </w:rPr>
            </w:pPr>
            <w:r w:rsidRPr="00475C3F">
              <w:rPr>
                <w:rFonts w:ascii="Times New Roman" w:eastAsia="Times New Roman" w:hAnsi="Times New Roman" w:cs="Times New Roman"/>
                <w:color w:val="000000"/>
                <w:sz w:val="20"/>
                <w:szCs w:val="20"/>
              </w:rPr>
              <w:t>9.8</w:t>
            </w:r>
          </w:p>
        </w:tc>
      </w:tr>
      <w:tr w:rsidR="00FE0200" w:rsidRPr="00890BBC" w:rsidTr="003C352E">
        <w:trPr>
          <w:trHeight w:val="300"/>
        </w:trPr>
        <w:tc>
          <w:tcPr>
            <w:tcW w:w="1535" w:type="dxa"/>
            <w:shd w:val="clear" w:color="auto" w:fill="auto"/>
            <w:noWrap/>
            <w:vAlign w:val="bottom"/>
          </w:tcPr>
          <w:p w:rsidR="00FE0200" w:rsidRPr="00890BBC" w:rsidRDefault="00FE0200" w:rsidP="003C352E">
            <w:pPr>
              <w:jc w:val="center"/>
              <w:rPr>
                <w:rFonts w:ascii="Times New Roman" w:hAnsi="Times New Roman" w:cs="Times New Roman"/>
                <w:sz w:val="20"/>
              </w:rPr>
            </w:pPr>
            <w:r>
              <w:rPr>
                <w:rFonts w:ascii="Times New Roman" w:hAnsi="Times New Roman" w:cs="Times New Roman"/>
                <w:sz w:val="20"/>
              </w:rPr>
              <w:t>AUC assuming ND = 0</w:t>
            </w:r>
          </w:p>
        </w:tc>
        <w:tc>
          <w:tcPr>
            <w:tcW w:w="990" w:type="dxa"/>
            <w:shd w:val="clear" w:color="auto" w:fill="auto"/>
            <w:noWrap/>
            <w:vAlign w:val="bottom"/>
          </w:tcPr>
          <w:p w:rsidR="00FE0200" w:rsidRPr="00016BA1" w:rsidRDefault="00FE0200" w:rsidP="003C352E">
            <w:pPr>
              <w:jc w:val="center"/>
              <w:rPr>
                <w:rFonts w:ascii="Times New Roman" w:hAnsi="Times New Roman" w:cs="Times New Roman"/>
                <w:b/>
                <w:bCs/>
                <w:sz w:val="20"/>
                <w:szCs w:val="20"/>
              </w:rPr>
            </w:pPr>
            <w:r w:rsidRPr="00016BA1">
              <w:rPr>
                <w:rFonts w:ascii="Times New Roman" w:eastAsia="Times New Roman" w:hAnsi="Times New Roman" w:cs="Times New Roman"/>
                <w:color w:val="000000"/>
                <w:sz w:val="20"/>
                <w:szCs w:val="20"/>
              </w:rPr>
              <w:t>27.3</w:t>
            </w:r>
          </w:p>
        </w:tc>
        <w:tc>
          <w:tcPr>
            <w:tcW w:w="990" w:type="dxa"/>
            <w:shd w:val="clear" w:color="auto" w:fill="auto"/>
            <w:noWrap/>
            <w:vAlign w:val="bottom"/>
          </w:tcPr>
          <w:p w:rsidR="00FE0200" w:rsidRPr="00016BA1" w:rsidRDefault="00FE0200" w:rsidP="003C352E">
            <w:pPr>
              <w:jc w:val="center"/>
              <w:rPr>
                <w:rFonts w:ascii="Times New Roman" w:hAnsi="Times New Roman" w:cs="Times New Roman"/>
                <w:sz w:val="20"/>
                <w:szCs w:val="20"/>
              </w:rPr>
            </w:pPr>
            <w:r w:rsidRPr="00016BA1">
              <w:rPr>
                <w:rFonts w:ascii="Times New Roman" w:eastAsia="Times New Roman" w:hAnsi="Times New Roman" w:cs="Times New Roman"/>
                <w:color w:val="000000"/>
                <w:sz w:val="20"/>
                <w:szCs w:val="20"/>
              </w:rPr>
              <w:t>20.9</w:t>
            </w:r>
          </w:p>
        </w:tc>
        <w:tc>
          <w:tcPr>
            <w:tcW w:w="990" w:type="dxa"/>
            <w:shd w:val="clear" w:color="auto" w:fill="auto"/>
            <w:noWrap/>
            <w:vAlign w:val="bottom"/>
          </w:tcPr>
          <w:p w:rsidR="00FE0200" w:rsidRPr="00016BA1" w:rsidRDefault="00FE0200" w:rsidP="003C352E">
            <w:pPr>
              <w:jc w:val="center"/>
              <w:rPr>
                <w:rFonts w:ascii="Times New Roman" w:hAnsi="Times New Roman" w:cs="Times New Roman"/>
                <w:b/>
                <w:bCs/>
                <w:sz w:val="20"/>
                <w:szCs w:val="20"/>
              </w:rPr>
            </w:pPr>
            <w:r w:rsidRPr="00016BA1">
              <w:rPr>
                <w:rFonts w:ascii="Times New Roman" w:eastAsia="Times New Roman" w:hAnsi="Times New Roman" w:cs="Times New Roman"/>
                <w:color w:val="000000"/>
                <w:sz w:val="20"/>
                <w:szCs w:val="20"/>
              </w:rPr>
              <w:t>77.0</w:t>
            </w:r>
          </w:p>
        </w:tc>
        <w:tc>
          <w:tcPr>
            <w:tcW w:w="1080" w:type="dxa"/>
            <w:shd w:val="clear" w:color="auto" w:fill="auto"/>
            <w:noWrap/>
            <w:vAlign w:val="bottom"/>
          </w:tcPr>
          <w:p w:rsidR="00FE0200" w:rsidRPr="00016BA1" w:rsidRDefault="00FE0200" w:rsidP="003C352E">
            <w:pPr>
              <w:jc w:val="center"/>
              <w:rPr>
                <w:rFonts w:ascii="Times New Roman" w:hAnsi="Times New Roman" w:cs="Times New Roman"/>
                <w:b/>
                <w:bCs/>
                <w:sz w:val="20"/>
                <w:szCs w:val="20"/>
              </w:rPr>
            </w:pPr>
            <w:r w:rsidRPr="00016BA1">
              <w:rPr>
                <w:rFonts w:ascii="Times New Roman" w:eastAsia="Times New Roman" w:hAnsi="Times New Roman" w:cs="Times New Roman"/>
                <w:color w:val="000000"/>
                <w:sz w:val="20"/>
                <w:szCs w:val="20"/>
              </w:rPr>
              <w:t>36.1</w:t>
            </w:r>
          </w:p>
        </w:tc>
        <w:tc>
          <w:tcPr>
            <w:tcW w:w="990" w:type="dxa"/>
            <w:shd w:val="clear" w:color="auto" w:fill="auto"/>
            <w:noWrap/>
            <w:vAlign w:val="bottom"/>
          </w:tcPr>
          <w:p w:rsidR="00FE0200" w:rsidRPr="00016BA1" w:rsidRDefault="00FE0200" w:rsidP="003C352E">
            <w:pPr>
              <w:jc w:val="center"/>
              <w:rPr>
                <w:rFonts w:ascii="Times New Roman" w:hAnsi="Times New Roman" w:cs="Times New Roman"/>
                <w:sz w:val="20"/>
                <w:szCs w:val="20"/>
              </w:rPr>
            </w:pPr>
            <w:r w:rsidRPr="00016BA1">
              <w:rPr>
                <w:rFonts w:ascii="Times New Roman" w:eastAsia="Times New Roman" w:hAnsi="Times New Roman" w:cs="Times New Roman"/>
                <w:color w:val="000000"/>
                <w:sz w:val="20"/>
                <w:szCs w:val="20"/>
              </w:rPr>
              <w:t>3.0</w:t>
            </w:r>
          </w:p>
        </w:tc>
        <w:tc>
          <w:tcPr>
            <w:tcW w:w="1080" w:type="dxa"/>
            <w:shd w:val="clear" w:color="auto" w:fill="auto"/>
            <w:noWrap/>
            <w:vAlign w:val="bottom"/>
          </w:tcPr>
          <w:p w:rsidR="00FE0200" w:rsidRPr="00016BA1" w:rsidRDefault="00FE0200" w:rsidP="003C352E">
            <w:pPr>
              <w:jc w:val="center"/>
              <w:rPr>
                <w:rFonts w:ascii="Times New Roman" w:hAnsi="Times New Roman" w:cs="Times New Roman"/>
                <w:sz w:val="20"/>
                <w:szCs w:val="20"/>
              </w:rPr>
            </w:pPr>
            <w:r w:rsidRPr="00016BA1">
              <w:rPr>
                <w:rFonts w:ascii="Times New Roman" w:eastAsia="Times New Roman" w:hAnsi="Times New Roman" w:cs="Times New Roman"/>
                <w:color w:val="000000"/>
                <w:sz w:val="20"/>
                <w:szCs w:val="20"/>
              </w:rPr>
              <w:t>14.1</w:t>
            </w:r>
          </w:p>
        </w:tc>
        <w:tc>
          <w:tcPr>
            <w:tcW w:w="990" w:type="dxa"/>
            <w:shd w:val="clear" w:color="auto" w:fill="auto"/>
            <w:noWrap/>
            <w:vAlign w:val="bottom"/>
          </w:tcPr>
          <w:p w:rsidR="00FE0200" w:rsidRPr="00016BA1" w:rsidRDefault="00FE0200" w:rsidP="003C352E">
            <w:pPr>
              <w:jc w:val="center"/>
              <w:rPr>
                <w:rFonts w:ascii="Times New Roman" w:hAnsi="Times New Roman" w:cs="Times New Roman"/>
                <w:sz w:val="20"/>
                <w:szCs w:val="20"/>
              </w:rPr>
            </w:pPr>
            <w:r w:rsidRPr="00016BA1">
              <w:rPr>
                <w:rFonts w:ascii="Times New Roman" w:eastAsia="Times New Roman" w:hAnsi="Times New Roman" w:cs="Times New Roman"/>
                <w:color w:val="000000"/>
                <w:sz w:val="20"/>
                <w:szCs w:val="20"/>
              </w:rPr>
              <w:t>19.9</w:t>
            </w:r>
          </w:p>
        </w:tc>
        <w:tc>
          <w:tcPr>
            <w:tcW w:w="1030" w:type="dxa"/>
            <w:shd w:val="clear" w:color="auto" w:fill="auto"/>
            <w:noWrap/>
            <w:vAlign w:val="bottom"/>
          </w:tcPr>
          <w:p w:rsidR="00FE0200" w:rsidRPr="00016BA1" w:rsidRDefault="00FE0200" w:rsidP="003C352E">
            <w:pPr>
              <w:jc w:val="center"/>
              <w:rPr>
                <w:rFonts w:ascii="Times New Roman" w:hAnsi="Times New Roman" w:cs="Times New Roman"/>
                <w:sz w:val="20"/>
                <w:szCs w:val="20"/>
              </w:rPr>
            </w:pPr>
            <w:r w:rsidRPr="00016BA1">
              <w:rPr>
                <w:rFonts w:ascii="Times New Roman" w:eastAsia="Times New Roman" w:hAnsi="Times New Roman" w:cs="Times New Roman"/>
                <w:color w:val="000000"/>
                <w:sz w:val="20"/>
                <w:szCs w:val="20"/>
              </w:rPr>
              <w:t>4.4</w:t>
            </w:r>
          </w:p>
        </w:tc>
      </w:tr>
      <w:tr w:rsidR="00FE0200" w:rsidRPr="00890BBC" w:rsidTr="003C352E">
        <w:trPr>
          <w:trHeight w:val="300"/>
        </w:trPr>
        <w:tc>
          <w:tcPr>
            <w:tcW w:w="1535" w:type="dxa"/>
            <w:shd w:val="clear" w:color="auto" w:fill="auto"/>
            <w:noWrap/>
            <w:vAlign w:val="bottom"/>
          </w:tcPr>
          <w:p w:rsidR="00FE0200" w:rsidRPr="00FF7A07" w:rsidRDefault="00FE0200" w:rsidP="003C352E">
            <w:pPr>
              <w:jc w:val="center"/>
              <w:rPr>
                <w:rFonts w:ascii="Times New Roman" w:hAnsi="Times New Roman" w:cs="Times New Roman"/>
                <w:sz w:val="22"/>
                <w:vertAlign w:val="superscript"/>
              </w:rPr>
            </w:pPr>
            <w:r>
              <w:rPr>
                <w:rFonts w:ascii="Times New Roman" w:hAnsi="Times New Roman" w:cs="Times New Roman"/>
                <w:sz w:val="20"/>
              </w:rPr>
              <w:t xml:space="preserve">Fraction </w:t>
            </w:r>
            <w:proofErr w:type="spellStart"/>
            <w:r>
              <w:rPr>
                <w:rFonts w:ascii="Times New Roman" w:hAnsi="Times New Roman" w:cs="Times New Roman"/>
                <w:sz w:val="20"/>
              </w:rPr>
              <w:t>Absorbed</w:t>
            </w:r>
            <w:r w:rsidRPr="00FF7A07">
              <w:rPr>
                <w:rFonts w:ascii="Times New Roman" w:hAnsi="Times New Roman" w:cs="Times New Roman"/>
                <w:sz w:val="28"/>
                <w:szCs w:val="28"/>
                <w:vertAlign w:val="superscript"/>
              </w:rPr>
              <w:t>c</w:t>
            </w:r>
            <w:proofErr w:type="spellEnd"/>
          </w:p>
        </w:tc>
        <w:tc>
          <w:tcPr>
            <w:tcW w:w="990" w:type="dxa"/>
            <w:shd w:val="clear" w:color="auto" w:fill="auto"/>
            <w:noWrap/>
            <w:vAlign w:val="bottom"/>
          </w:tcPr>
          <w:p w:rsidR="00FE0200" w:rsidRPr="00C74CDA" w:rsidRDefault="00FE0200" w:rsidP="003C352E">
            <w:pPr>
              <w:jc w:val="center"/>
              <w:rPr>
                <w:rFonts w:ascii="Times New Roman" w:eastAsia="Times New Roman" w:hAnsi="Times New Roman" w:cs="Times New Roman"/>
                <w:color w:val="000000"/>
                <w:sz w:val="20"/>
                <w:szCs w:val="20"/>
              </w:rPr>
            </w:pPr>
            <w:r w:rsidRPr="00C74CDA">
              <w:rPr>
                <w:rFonts w:ascii="Times New Roman" w:eastAsia="Times New Roman" w:hAnsi="Times New Roman" w:cs="Times New Roman"/>
                <w:color w:val="000000"/>
                <w:sz w:val="20"/>
                <w:szCs w:val="20"/>
              </w:rPr>
              <w:t>0.59</w:t>
            </w:r>
          </w:p>
        </w:tc>
        <w:tc>
          <w:tcPr>
            <w:tcW w:w="990" w:type="dxa"/>
            <w:shd w:val="clear" w:color="auto" w:fill="auto"/>
            <w:noWrap/>
            <w:vAlign w:val="bottom"/>
          </w:tcPr>
          <w:p w:rsidR="00FE0200" w:rsidRPr="00C74CDA" w:rsidRDefault="00FE0200" w:rsidP="003C352E">
            <w:pPr>
              <w:jc w:val="center"/>
              <w:rPr>
                <w:rFonts w:ascii="Times New Roman" w:eastAsia="Times New Roman" w:hAnsi="Times New Roman" w:cs="Times New Roman"/>
                <w:color w:val="000000"/>
                <w:sz w:val="20"/>
                <w:szCs w:val="20"/>
              </w:rPr>
            </w:pPr>
            <w:r w:rsidRPr="00C74CDA">
              <w:rPr>
                <w:rFonts w:ascii="Times New Roman" w:eastAsia="Times New Roman" w:hAnsi="Times New Roman" w:cs="Times New Roman"/>
                <w:color w:val="000000"/>
                <w:sz w:val="20"/>
                <w:szCs w:val="20"/>
              </w:rPr>
              <w:t>0.20</w:t>
            </w:r>
          </w:p>
        </w:tc>
        <w:tc>
          <w:tcPr>
            <w:tcW w:w="990" w:type="dxa"/>
            <w:shd w:val="clear" w:color="auto" w:fill="auto"/>
            <w:noWrap/>
            <w:vAlign w:val="bottom"/>
          </w:tcPr>
          <w:p w:rsidR="00FE0200" w:rsidRPr="00C74CDA" w:rsidRDefault="00FE0200" w:rsidP="003C352E">
            <w:pPr>
              <w:jc w:val="center"/>
              <w:rPr>
                <w:rFonts w:ascii="Times New Roman" w:eastAsia="Times New Roman" w:hAnsi="Times New Roman" w:cs="Times New Roman"/>
                <w:color w:val="000000"/>
                <w:sz w:val="20"/>
                <w:szCs w:val="20"/>
              </w:rPr>
            </w:pPr>
            <w:r w:rsidRPr="00C74CDA">
              <w:rPr>
                <w:rFonts w:ascii="Times New Roman" w:eastAsia="Times New Roman" w:hAnsi="Times New Roman" w:cs="Times New Roman"/>
                <w:color w:val="000000"/>
                <w:sz w:val="20"/>
                <w:szCs w:val="20"/>
              </w:rPr>
              <w:t>0.86</w:t>
            </w:r>
          </w:p>
        </w:tc>
        <w:tc>
          <w:tcPr>
            <w:tcW w:w="1080" w:type="dxa"/>
            <w:shd w:val="clear" w:color="auto" w:fill="auto"/>
            <w:noWrap/>
            <w:vAlign w:val="bottom"/>
          </w:tcPr>
          <w:p w:rsidR="00FE0200" w:rsidRPr="00C74CDA" w:rsidRDefault="00FE0200" w:rsidP="003C352E">
            <w:pPr>
              <w:jc w:val="center"/>
              <w:rPr>
                <w:rFonts w:ascii="Times New Roman" w:eastAsia="Times New Roman" w:hAnsi="Times New Roman" w:cs="Times New Roman"/>
                <w:color w:val="000000"/>
                <w:sz w:val="20"/>
                <w:szCs w:val="20"/>
              </w:rPr>
            </w:pPr>
            <w:r w:rsidRPr="00C74CDA">
              <w:rPr>
                <w:rFonts w:ascii="Times New Roman" w:eastAsia="Times New Roman" w:hAnsi="Times New Roman" w:cs="Times New Roman"/>
                <w:color w:val="000000"/>
                <w:sz w:val="20"/>
                <w:szCs w:val="20"/>
              </w:rPr>
              <w:t>0.30</w:t>
            </w:r>
          </w:p>
        </w:tc>
        <w:tc>
          <w:tcPr>
            <w:tcW w:w="990" w:type="dxa"/>
            <w:shd w:val="clear" w:color="auto" w:fill="auto"/>
            <w:noWrap/>
            <w:vAlign w:val="bottom"/>
          </w:tcPr>
          <w:p w:rsidR="00FE0200" w:rsidRPr="00C74CDA" w:rsidRDefault="00FE0200" w:rsidP="003C352E">
            <w:pPr>
              <w:jc w:val="center"/>
              <w:rPr>
                <w:rFonts w:ascii="Times New Roman" w:eastAsia="Times New Roman" w:hAnsi="Times New Roman" w:cs="Times New Roman"/>
                <w:color w:val="000000"/>
                <w:sz w:val="20"/>
                <w:szCs w:val="20"/>
              </w:rPr>
            </w:pPr>
            <w:r w:rsidRPr="00C74CDA">
              <w:rPr>
                <w:rFonts w:ascii="Times New Roman" w:eastAsia="Times New Roman" w:hAnsi="Times New Roman" w:cs="Times New Roman"/>
                <w:color w:val="000000"/>
                <w:sz w:val="20"/>
                <w:szCs w:val="20"/>
              </w:rPr>
              <w:t>0.27</w:t>
            </w:r>
          </w:p>
        </w:tc>
        <w:tc>
          <w:tcPr>
            <w:tcW w:w="1080" w:type="dxa"/>
            <w:shd w:val="clear" w:color="auto" w:fill="auto"/>
            <w:noWrap/>
            <w:vAlign w:val="bottom"/>
          </w:tcPr>
          <w:p w:rsidR="00FE0200" w:rsidRPr="00C74CDA" w:rsidRDefault="00FE0200" w:rsidP="003C352E">
            <w:pPr>
              <w:jc w:val="center"/>
              <w:rPr>
                <w:rFonts w:ascii="Times New Roman" w:eastAsia="Times New Roman" w:hAnsi="Times New Roman" w:cs="Times New Roman"/>
                <w:color w:val="000000"/>
                <w:sz w:val="20"/>
                <w:szCs w:val="20"/>
              </w:rPr>
            </w:pPr>
            <w:r w:rsidRPr="00C74CDA">
              <w:rPr>
                <w:rFonts w:ascii="Times New Roman" w:eastAsia="Times New Roman" w:hAnsi="Times New Roman" w:cs="Times New Roman"/>
                <w:color w:val="000000"/>
                <w:sz w:val="20"/>
                <w:szCs w:val="20"/>
              </w:rPr>
              <w:t>0.38</w:t>
            </w:r>
          </w:p>
        </w:tc>
        <w:tc>
          <w:tcPr>
            <w:tcW w:w="990" w:type="dxa"/>
            <w:shd w:val="clear" w:color="auto" w:fill="auto"/>
            <w:noWrap/>
            <w:vAlign w:val="bottom"/>
          </w:tcPr>
          <w:p w:rsidR="00FE0200" w:rsidRPr="00C74CDA" w:rsidRDefault="00FE0200" w:rsidP="003C352E">
            <w:pPr>
              <w:jc w:val="center"/>
              <w:rPr>
                <w:rFonts w:ascii="Times New Roman" w:eastAsia="Times New Roman" w:hAnsi="Times New Roman" w:cs="Times New Roman"/>
                <w:color w:val="000000"/>
                <w:sz w:val="20"/>
                <w:szCs w:val="20"/>
              </w:rPr>
            </w:pPr>
            <w:r w:rsidRPr="00C74CDA">
              <w:rPr>
                <w:rFonts w:ascii="Times New Roman" w:eastAsia="Times New Roman" w:hAnsi="Times New Roman" w:cs="Times New Roman"/>
                <w:color w:val="000000"/>
                <w:sz w:val="20"/>
                <w:szCs w:val="20"/>
              </w:rPr>
              <w:t>0.36</w:t>
            </w:r>
          </w:p>
        </w:tc>
        <w:tc>
          <w:tcPr>
            <w:tcW w:w="1030" w:type="dxa"/>
            <w:shd w:val="clear" w:color="auto" w:fill="auto"/>
            <w:noWrap/>
            <w:vAlign w:val="bottom"/>
          </w:tcPr>
          <w:p w:rsidR="00FE0200" w:rsidRPr="00C74CDA" w:rsidRDefault="00FE0200" w:rsidP="003C352E">
            <w:pPr>
              <w:jc w:val="center"/>
              <w:rPr>
                <w:rFonts w:ascii="Times New Roman" w:eastAsia="Times New Roman" w:hAnsi="Times New Roman" w:cs="Times New Roman"/>
                <w:color w:val="000000"/>
                <w:sz w:val="20"/>
                <w:szCs w:val="20"/>
              </w:rPr>
            </w:pPr>
            <w:r w:rsidRPr="00C74CDA">
              <w:rPr>
                <w:rFonts w:ascii="Times New Roman" w:eastAsia="Times New Roman" w:hAnsi="Times New Roman" w:cs="Times New Roman"/>
                <w:color w:val="000000"/>
                <w:sz w:val="20"/>
                <w:szCs w:val="20"/>
              </w:rPr>
              <w:t>0.16</w:t>
            </w:r>
          </w:p>
        </w:tc>
      </w:tr>
      <w:tr w:rsidR="00FE0200" w:rsidRPr="00890BBC" w:rsidTr="003C352E">
        <w:trPr>
          <w:trHeight w:val="300"/>
        </w:trPr>
        <w:tc>
          <w:tcPr>
            <w:tcW w:w="1535" w:type="dxa"/>
            <w:shd w:val="clear" w:color="auto" w:fill="auto"/>
            <w:noWrap/>
            <w:vAlign w:val="bottom"/>
          </w:tcPr>
          <w:p w:rsidR="00FE0200" w:rsidRDefault="00FE0200" w:rsidP="003C352E">
            <w:pPr>
              <w:jc w:val="center"/>
              <w:rPr>
                <w:rFonts w:ascii="Times New Roman" w:hAnsi="Times New Roman" w:cs="Times New Roman"/>
                <w:sz w:val="20"/>
              </w:rPr>
            </w:pPr>
            <w:r>
              <w:rPr>
                <w:rFonts w:ascii="Times New Roman" w:hAnsi="Times New Roman" w:cs="Times New Roman"/>
                <w:sz w:val="20"/>
              </w:rPr>
              <w:t>AUC/Absorbed dose (</w:t>
            </w:r>
            <w:proofErr w:type="spellStart"/>
            <w:r>
              <w:rPr>
                <w:rFonts w:ascii="Times New Roman" w:hAnsi="Times New Roman" w:cs="Times New Roman"/>
                <w:sz w:val="20"/>
              </w:rPr>
              <w:t>ng</w:t>
            </w:r>
            <w:proofErr w:type="spellEnd"/>
            <w:r>
              <w:rPr>
                <w:rFonts w:ascii="Times New Roman" w:hAnsi="Times New Roman" w:cs="Times New Roman"/>
                <w:sz w:val="20"/>
              </w:rPr>
              <w:t>-hr/ml)/mg/kg)</w:t>
            </w:r>
          </w:p>
        </w:tc>
        <w:tc>
          <w:tcPr>
            <w:tcW w:w="990" w:type="dxa"/>
            <w:shd w:val="clear" w:color="auto" w:fill="auto"/>
            <w:noWrap/>
            <w:vAlign w:val="bottom"/>
          </w:tcPr>
          <w:p w:rsidR="00FE0200" w:rsidRPr="00C74CDA" w:rsidRDefault="00FE0200" w:rsidP="003C352E">
            <w:pPr>
              <w:jc w:val="center"/>
              <w:rPr>
                <w:rFonts w:ascii="Times New Roman" w:eastAsia="Times New Roman" w:hAnsi="Times New Roman" w:cs="Times New Roman"/>
                <w:color w:val="000000"/>
                <w:sz w:val="20"/>
                <w:szCs w:val="20"/>
              </w:rPr>
            </w:pPr>
            <w:r w:rsidRPr="00C74CDA">
              <w:rPr>
                <w:rFonts w:ascii="Times New Roman" w:eastAsia="Times New Roman" w:hAnsi="Times New Roman" w:cs="Times New Roman"/>
                <w:color w:val="000000"/>
                <w:sz w:val="20"/>
                <w:szCs w:val="20"/>
              </w:rPr>
              <w:t>23.6</w:t>
            </w:r>
          </w:p>
        </w:tc>
        <w:tc>
          <w:tcPr>
            <w:tcW w:w="990" w:type="dxa"/>
            <w:shd w:val="clear" w:color="auto" w:fill="auto"/>
            <w:noWrap/>
            <w:vAlign w:val="bottom"/>
          </w:tcPr>
          <w:p w:rsidR="00FE0200" w:rsidRPr="00C74CDA" w:rsidRDefault="00FE0200" w:rsidP="003C352E">
            <w:pPr>
              <w:jc w:val="center"/>
              <w:rPr>
                <w:rFonts w:ascii="Times New Roman" w:eastAsia="Times New Roman" w:hAnsi="Times New Roman" w:cs="Times New Roman"/>
                <w:color w:val="000000"/>
                <w:sz w:val="20"/>
                <w:szCs w:val="20"/>
              </w:rPr>
            </w:pPr>
            <w:r w:rsidRPr="00C74CDA">
              <w:rPr>
                <w:rFonts w:ascii="Times New Roman" w:eastAsia="Times New Roman" w:hAnsi="Times New Roman" w:cs="Times New Roman"/>
                <w:color w:val="000000"/>
                <w:sz w:val="20"/>
                <w:szCs w:val="20"/>
              </w:rPr>
              <w:t>57.0</w:t>
            </w:r>
          </w:p>
        </w:tc>
        <w:tc>
          <w:tcPr>
            <w:tcW w:w="990" w:type="dxa"/>
            <w:shd w:val="clear" w:color="auto" w:fill="auto"/>
            <w:noWrap/>
            <w:vAlign w:val="bottom"/>
          </w:tcPr>
          <w:p w:rsidR="00FE0200" w:rsidRPr="00C74CDA" w:rsidRDefault="00FE0200" w:rsidP="003C352E">
            <w:pPr>
              <w:jc w:val="center"/>
              <w:rPr>
                <w:rFonts w:ascii="Times New Roman" w:eastAsia="Times New Roman" w:hAnsi="Times New Roman" w:cs="Times New Roman"/>
                <w:color w:val="000000"/>
                <w:sz w:val="20"/>
                <w:szCs w:val="20"/>
              </w:rPr>
            </w:pPr>
            <w:r w:rsidRPr="00C74CDA">
              <w:rPr>
                <w:rFonts w:ascii="Times New Roman" w:eastAsia="Times New Roman" w:hAnsi="Times New Roman" w:cs="Times New Roman"/>
                <w:color w:val="000000"/>
                <w:sz w:val="20"/>
                <w:szCs w:val="20"/>
              </w:rPr>
              <w:t>47.0</w:t>
            </w:r>
          </w:p>
        </w:tc>
        <w:tc>
          <w:tcPr>
            <w:tcW w:w="1080" w:type="dxa"/>
            <w:shd w:val="clear" w:color="auto" w:fill="auto"/>
            <w:noWrap/>
            <w:vAlign w:val="bottom"/>
          </w:tcPr>
          <w:p w:rsidR="00FE0200" w:rsidRPr="00C74CDA" w:rsidRDefault="00FE0200" w:rsidP="003C352E">
            <w:pPr>
              <w:jc w:val="center"/>
              <w:rPr>
                <w:rFonts w:ascii="Times New Roman" w:eastAsia="Times New Roman" w:hAnsi="Times New Roman" w:cs="Times New Roman"/>
                <w:color w:val="000000"/>
                <w:sz w:val="20"/>
                <w:szCs w:val="20"/>
              </w:rPr>
            </w:pPr>
            <w:r w:rsidRPr="00C74CDA">
              <w:rPr>
                <w:rFonts w:ascii="Times New Roman" w:eastAsia="Times New Roman" w:hAnsi="Times New Roman" w:cs="Times New Roman"/>
                <w:color w:val="000000"/>
                <w:sz w:val="20"/>
                <w:szCs w:val="20"/>
              </w:rPr>
              <w:t>60.9</w:t>
            </w:r>
          </w:p>
        </w:tc>
        <w:tc>
          <w:tcPr>
            <w:tcW w:w="990" w:type="dxa"/>
            <w:shd w:val="clear" w:color="auto" w:fill="auto"/>
            <w:noWrap/>
            <w:vAlign w:val="bottom"/>
          </w:tcPr>
          <w:p w:rsidR="00FE0200" w:rsidRPr="00C74CDA" w:rsidRDefault="00FE0200" w:rsidP="003C352E">
            <w:pPr>
              <w:jc w:val="center"/>
              <w:rPr>
                <w:rFonts w:ascii="Times New Roman" w:eastAsia="Times New Roman" w:hAnsi="Times New Roman" w:cs="Times New Roman"/>
                <w:color w:val="000000"/>
                <w:sz w:val="20"/>
                <w:szCs w:val="20"/>
              </w:rPr>
            </w:pPr>
            <w:r w:rsidRPr="00C74CDA">
              <w:rPr>
                <w:rFonts w:ascii="Times New Roman" w:eastAsia="Times New Roman" w:hAnsi="Times New Roman" w:cs="Times New Roman"/>
                <w:color w:val="000000"/>
                <w:sz w:val="20"/>
                <w:szCs w:val="20"/>
              </w:rPr>
              <w:t>33.4</w:t>
            </w:r>
          </w:p>
        </w:tc>
        <w:tc>
          <w:tcPr>
            <w:tcW w:w="1080" w:type="dxa"/>
            <w:shd w:val="clear" w:color="auto" w:fill="auto"/>
            <w:noWrap/>
            <w:vAlign w:val="bottom"/>
          </w:tcPr>
          <w:p w:rsidR="00FE0200" w:rsidRPr="00C74CDA" w:rsidRDefault="00FE0200" w:rsidP="003C352E">
            <w:pPr>
              <w:jc w:val="center"/>
              <w:rPr>
                <w:rFonts w:ascii="Times New Roman" w:eastAsia="Times New Roman" w:hAnsi="Times New Roman" w:cs="Times New Roman"/>
                <w:color w:val="000000"/>
                <w:sz w:val="20"/>
                <w:szCs w:val="20"/>
              </w:rPr>
            </w:pPr>
            <w:r w:rsidRPr="00C74CDA">
              <w:rPr>
                <w:rFonts w:ascii="Times New Roman" w:eastAsia="Times New Roman" w:hAnsi="Times New Roman" w:cs="Times New Roman"/>
                <w:color w:val="000000"/>
                <w:sz w:val="20"/>
                <w:szCs w:val="20"/>
              </w:rPr>
              <w:t>46.2</w:t>
            </w:r>
          </w:p>
        </w:tc>
        <w:tc>
          <w:tcPr>
            <w:tcW w:w="990" w:type="dxa"/>
            <w:shd w:val="clear" w:color="auto" w:fill="auto"/>
            <w:noWrap/>
            <w:vAlign w:val="bottom"/>
          </w:tcPr>
          <w:p w:rsidR="00FE0200" w:rsidRPr="00C74CDA" w:rsidRDefault="00FE0200" w:rsidP="003C352E">
            <w:pPr>
              <w:jc w:val="center"/>
              <w:rPr>
                <w:rFonts w:ascii="Times New Roman" w:eastAsia="Times New Roman" w:hAnsi="Times New Roman" w:cs="Times New Roman"/>
                <w:color w:val="000000"/>
                <w:sz w:val="20"/>
                <w:szCs w:val="20"/>
              </w:rPr>
            </w:pPr>
            <w:r w:rsidRPr="00C74CDA">
              <w:rPr>
                <w:rFonts w:ascii="Times New Roman" w:eastAsia="Times New Roman" w:hAnsi="Times New Roman" w:cs="Times New Roman"/>
                <w:color w:val="000000"/>
                <w:sz w:val="20"/>
                <w:szCs w:val="20"/>
              </w:rPr>
              <w:t>67.6</w:t>
            </w:r>
          </w:p>
        </w:tc>
        <w:tc>
          <w:tcPr>
            <w:tcW w:w="1030" w:type="dxa"/>
            <w:shd w:val="clear" w:color="auto" w:fill="auto"/>
            <w:noWrap/>
            <w:vAlign w:val="bottom"/>
          </w:tcPr>
          <w:p w:rsidR="00FE0200" w:rsidRPr="00C74CDA" w:rsidRDefault="00FE0200" w:rsidP="003C352E">
            <w:pPr>
              <w:jc w:val="center"/>
              <w:rPr>
                <w:rFonts w:ascii="Times New Roman" w:eastAsia="Times New Roman" w:hAnsi="Times New Roman" w:cs="Times New Roman"/>
                <w:color w:val="000000"/>
                <w:sz w:val="20"/>
                <w:szCs w:val="20"/>
              </w:rPr>
            </w:pPr>
            <w:r w:rsidRPr="00C74CDA">
              <w:rPr>
                <w:rFonts w:ascii="Times New Roman" w:eastAsia="Times New Roman" w:hAnsi="Times New Roman" w:cs="Times New Roman"/>
                <w:color w:val="000000"/>
                <w:sz w:val="20"/>
                <w:szCs w:val="20"/>
              </w:rPr>
              <w:t>60.1</w:t>
            </w:r>
          </w:p>
        </w:tc>
      </w:tr>
    </w:tbl>
    <w:p w:rsidR="00FE0200" w:rsidRPr="00890BBC" w:rsidRDefault="00FE0200" w:rsidP="00FE0200">
      <w:pPr>
        <w:rPr>
          <w:rFonts w:ascii="Times New Roman" w:hAnsi="Times New Roman" w:cs="Times New Roman"/>
        </w:rPr>
      </w:pPr>
      <w:proofErr w:type="gramStart"/>
      <w:r w:rsidRPr="00890BBC">
        <w:rPr>
          <w:rFonts w:ascii="Times New Roman" w:hAnsi="Times New Roman" w:cs="Times New Roman"/>
          <w:szCs w:val="18"/>
          <w:vertAlign w:val="superscript"/>
        </w:rPr>
        <w:t>a</w:t>
      </w:r>
      <w:proofErr w:type="gramEnd"/>
      <w:r w:rsidRPr="00890BBC">
        <w:rPr>
          <w:rFonts w:ascii="Times New Roman" w:hAnsi="Times New Roman" w:cs="Times New Roman"/>
        </w:rPr>
        <w:t xml:space="preserve"> ND = Not Detected</w:t>
      </w:r>
    </w:p>
    <w:p w:rsidR="00FE0200" w:rsidRPr="00890BBC" w:rsidRDefault="00FE0200" w:rsidP="00FE0200">
      <w:pPr>
        <w:rPr>
          <w:rFonts w:ascii="Times New Roman" w:hAnsi="Times New Roman" w:cs="Times New Roman"/>
        </w:rPr>
      </w:pPr>
      <w:proofErr w:type="gramStart"/>
      <w:r w:rsidRPr="00890BBC">
        <w:rPr>
          <w:rFonts w:ascii="Times New Roman" w:hAnsi="Times New Roman" w:cs="Times New Roman"/>
          <w:szCs w:val="18"/>
          <w:vertAlign w:val="superscript"/>
        </w:rPr>
        <w:t>b</w:t>
      </w:r>
      <w:proofErr w:type="gramEnd"/>
      <w:r w:rsidRPr="00890BBC">
        <w:rPr>
          <w:rFonts w:ascii="Times New Roman" w:hAnsi="Times New Roman" w:cs="Times New Roman"/>
        </w:rPr>
        <w:t xml:space="preserve"> Ns is presumably “no sample”.</w:t>
      </w:r>
    </w:p>
    <w:p w:rsidR="00FE0200" w:rsidRDefault="00FE0200" w:rsidP="00FE0200">
      <w:r w:rsidRPr="00890BBC">
        <w:rPr>
          <w:rFonts w:ascii="Times New Roman" w:hAnsi="Times New Roman" w:cs="Times New Roman"/>
        </w:rPr>
        <w:t xml:space="preserve">Source: </w:t>
      </w:r>
      <w:proofErr w:type="spellStart"/>
      <w:r w:rsidRPr="00890BBC">
        <w:rPr>
          <w:rFonts w:ascii="Times New Roman" w:hAnsi="Times New Roman" w:cs="Times New Roman"/>
        </w:rPr>
        <w:t>Brzak</w:t>
      </w:r>
      <w:proofErr w:type="spellEnd"/>
      <w:r w:rsidRPr="00890BBC">
        <w:rPr>
          <w:rFonts w:ascii="Times New Roman" w:hAnsi="Times New Roman" w:cs="Times New Roman"/>
        </w:rPr>
        <w:t xml:space="preserve"> (1999)</w:t>
      </w:r>
      <w:r w:rsidRPr="00596EB5">
        <w:t xml:space="preserve"> </w:t>
      </w:r>
      <w:r w:rsidR="004375A8">
        <w:rPr>
          <w:rFonts w:ascii="Times New Roman" w:hAnsi="Times New Roman" w:cs="Times New Roman"/>
        </w:rPr>
        <w:fldChar w:fldCharType="begin"/>
      </w:r>
      <w:r w:rsidR="002B6D02">
        <w:rPr>
          <w:rFonts w:ascii="Times New Roman" w:hAnsi="Times New Roman" w:cs="Times New Roman"/>
        </w:rPr>
        <w:instrText xml:space="preserve"> ADDIN EN.CITE &lt;EndNote&gt;&lt;Cite&gt;&lt;Author&gt;Brzak&lt;/Author&gt;&lt;Year&gt;1999&lt;/Year&gt;&lt;RecNum&gt;208&lt;/RecNum&gt;&lt;DisplayText&gt;&lt;style face="superscript"&gt;(24)&lt;/style&gt;&lt;/DisplayText&gt;&lt;record&gt;&lt;rec-number&gt;208&lt;/rec-number&gt;&lt;foreign-keys&gt;&lt;key app="EN" db-id="xftvffafmwpe0fedf055pwp7ts95t0ta0v0a"&gt;208&lt;/key&gt;&lt;/foreign-keys&gt;&lt;ref-type name="Report"&gt;27&lt;/ref-type&gt;&lt;contributors&gt;&lt;authors&gt;&lt;author&gt;Brzak, KA&lt;/author&gt;&lt;/authors&gt;&lt;/contributors&gt;&lt;titles&gt;&lt;title&gt;A rising dose toxicology study to determine the no-observable-effect levels for erthyrocyte acetylcholinesterase (AChE) inhibition and cholinergic signs and symptoms of chlorpyrifos at three dose levels - Part B (Pharmacokinetic and paraoxonase data).&lt;/title&gt;&lt;/titles&gt;&lt;number&gt;DOW, Study No.: 981176, June 5, 2000. MRID No.: 45144101&lt;/number&gt;&lt;dates&gt;&lt;year&gt;1999&lt;/year&gt;&lt;pub-dates&gt;&lt;date&gt;June 5, 2000&lt;/date&gt;&lt;/pub-dates&gt;&lt;/dates&gt;&lt;publisher&gt;Toxicology and Environmental Research and Consulting&lt;/publisher&gt;&lt;isbn&gt;Study No.: 981176, June 5, 2000. MRID No.: 45144101&lt;/isbn&gt;&lt;urls&gt;&lt;/urls&gt;&lt;/record&gt;&lt;/Cite&gt;&lt;/EndNote&gt;</w:instrText>
      </w:r>
      <w:r w:rsidR="004375A8">
        <w:rPr>
          <w:rFonts w:ascii="Times New Roman" w:hAnsi="Times New Roman" w:cs="Times New Roman"/>
        </w:rPr>
        <w:fldChar w:fldCharType="separate"/>
      </w:r>
      <w:r w:rsidR="002B6D02" w:rsidRPr="002B6D02">
        <w:rPr>
          <w:rFonts w:ascii="Times New Roman" w:hAnsi="Times New Roman" w:cs="Times New Roman"/>
          <w:noProof/>
          <w:vertAlign w:val="superscript"/>
        </w:rPr>
        <w:t>(</w:t>
      </w:r>
      <w:hyperlink w:anchor="_ENREF_24" w:tooltip="Brzak, 1999 #208" w:history="1">
        <w:r w:rsidR="002B6D02" w:rsidRPr="002B6D02">
          <w:rPr>
            <w:rFonts w:ascii="Times New Roman" w:hAnsi="Times New Roman" w:cs="Times New Roman"/>
            <w:noProof/>
            <w:vertAlign w:val="superscript"/>
          </w:rPr>
          <w:t>24</w:t>
        </w:r>
      </w:hyperlink>
      <w:r w:rsidR="002B6D02" w:rsidRPr="002B6D02">
        <w:rPr>
          <w:rFonts w:ascii="Times New Roman" w:hAnsi="Times New Roman" w:cs="Times New Roman"/>
          <w:noProof/>
          <w:vertAlign w:val="superscript"/>
        </w:rPr>
        <w:t>)</w:t>
      </w:r>
      <w:r w:rsidR="004375A8">
        <w:rPr>
          <w:rFonts w:ascii="Times New Roman" w:hAnsi="Times New Roman" w:cs="Times New Roman"/>
        </w:rPr>
        <w:fldChar w:fldCharType="end"/>
      </w:r>
      <w:r w:rsidRPr="00890BBC">
        <w:rPr>
          <w:rFonts w:ascii="Times New Roman" w:hAnsi="Times New Roman" w:cs="Times New Roman"/>
        </w:rPr>
        <w:t xml:space="preserve"> and </w:t>
      </w:r>
      <w:proofErr w:type="spellStart"/>
      <w:r w:rsidRPr="00890BBC">
        <w:rPr>
          <w:rFonts w:ascii="Times New Roman" w:hAnsi="Times New Roman" w:cs="Times New Roman"/>
        </w:rPr>
        <w:t>Kisicki</w:t>
      </w:r>
      <w:proofErr w:type="spellEnd"/>
      <w:r w:rsidRPr="00890BBC">
        <w:rPr>
          <w:rFonts w:ascii="Times New Roman" w:hAnsi="Times New Roman" w:cs="Times New Roman"/>
        </w:rPr>
        <w:t xml:space="preserve"> et al. (1999)</w:t>
      </w:r>
      <w:r w:rsidRPr="00596EB5">
        <w:t xml:space="preserve"> </w:t>
      </w:r>
      <w:r w:rsidR="004375A8">
        <w:rPr>
          <w:rFonts w:ascii="Times New Roman" w:hAnsi="Times New Roman" w:cs="Times New Roman"/>
        </w:rPr>
        <w:fldChar w:fldCharType="begin"/>
      </w:r>
      <w:r w:rsidR="002B6D02">
        <w:rPr>
          <w:rFonts w:ascii="Times New Roman" w:hAnsi="Times New Roman" w:cs="Times New Roman"/>
        </w:rPr>
        <w:instrText xml:space="preserve"> ADDIN EN.CITE &lt;EndNote&gt;&lt;Cite&gt;&lt;Author&gt;Kisicki&lt;/Author&gt;&lt;Year&gt;1999&lt;/Year&gt;&lt;RecNum&gt;207&lt;/RecNum&gt;&lt;DisplayText&gt;&lt;style face="superscript"&gt;(23)&lt;/style&gt;&lt;/DisplayText&gt;&lt;record&gt;&lt;rec-number&gt;207&lt;/rec-number&gt;&lt;foreign-keys&gt;&lt;key app="EN" db-id="xftvffafmwpe0fedf055pwp7ts95t0ta0v0a"&gt;207&lt;/key&gt;&lt;/foreign-keys&gt;&lt;ref-type name="Report"&gt;27&lt;/ref-type&gt;&lt;contributors&gt;&lt;authors&gt;&lt;author&gt;Kisicki, JC, Seip, CW, Combs, ML&lt;/author&gt;&lt;/authors&gt;&lt;/contributors&gt;&lt;titles&gt;&lt;title&gt;A rising dose toxicology study to determine the no-observable-effect-levels (for erthyrocyte acetylcholinesterase (AChE) inhibition and cholinergic signs and symptoms of chlorpyrifos at three dose levels.&lt;/title&gt;&lt;/titles&gt;&lt;dates&gt;&lt;year&gt;1999&lt;/year&gt;&lt;pub-dates&gt;&lt;date&gt;April 18, 1999&lt;/date&gt;&lt;/pub-dates&gt;&lt;/dates&gt;&lt;publisher&gt;MDC Harris Laboratory, Lincoln Nebraska&lt;/publisher&gt;&lt;isbn&gt;MRID No.: 44811002.&lt;/isbn&gt;&lt;urls&gt;&lt;/urls&gt;&lt;/record&gt;&lt;/Cite&gt;&lt;/EndNote&gt;</w:instrText>
      </w:r>
      <w:r w:rsidR="004375A8">
        <w:rPr>
          <w:rFonts w:ascii="Times New Roman" w:hAnsi="Times New Roman" w:cs="Times New Roman"/>
        </w:rPr>
        <w:fldChar w:fldCharType="separate"/>
      </w:r>
      <w:r w:rsidR="002B6D02" w:rsidRPr="002B6D02">
        <w:rPr>
          <w:rFonts w:ascii="Times New Roman" w:hAnsi="Times New Roman" w:cs="Times New Roman"/>
          <w:noProof/>
          <w:vertAlign w:val="superscript"/>
        </w:rPr>
        <w:t>(</w:t>
      </w:r>
      <w:hyperlink w:anchor="_ENREF_23" w:tooltip="Kisicki, 1999 #207" w:history="1">
        <w:r w:rsidR="002B6D02" w:rsidRPr="002B6D02">
          <w:rPr>
            <w:rFonts w:ascii="Times New Roman" w:hAnsi="Times New Roman" w:cs="Times New Roman"/>
            <w:noProof/>
            <w:vertAlign w:val="superscript"/>
          </w:rPr>
          <w:t>23</w:t>
        </w:r>
      </w:hyperlink>
      <w:r w:rsidR="002B6D02" w:rsidRPr="002B6D02">
        <w:rPr>
          <w:rFonts w:ascii="Times New Roman" w:hAnsi="Times New Roman" w:cs="Times New Roman"/>
          <w:noProof/>
          <w:vertAlign w:val="superscript"/>
        </w:rPr>
        <w:t>)</w:t>
      </w:r>
      <w:r w:rsidR="004375A8">
        <w:rPr>
          <w:rFonts w:ascii="Times New Roman" w:hAnsi="Times New Roman" w:cs="Times New Roman"/>
        </w:rPr>
        <w:fldChar w:fldCharType="end"/>
      </w:r>
      <w:r w:rsidRPr="00890BBC">
        <w:rPr>
          <w:rFonts w:ascii="Times New Roman" w:hAnsi="Times New Roman" w:cs="Times New Roman"/>
        </w:rPr>
        <w:t xml:space="preserve"> as summarized by Doherty and Taylor (1999).</w:t>
      </w:r>
      <w:r w:rsidRPr="00596EB5">
        <w:t xml:space="preserve"> </w:t>
      </w:r>
      <w:r w:rsidR="004375A8">
        <w:rPr>
          <w:rFonts w:ascii="Times New Roman" w:hAnsi="Times New Roman" w:cs="Times New Roman"/>
        </w:rPr>
        <w:fldChar w:fldCharType="begin"/>
      </w:r>
      <w:r>
        <w:rPr>
          <w:rFonts w:ascii="Times New Roman" w:hAnsi="Times New Roman" w:cs="Times New Roman"/>
        </w:rPr>
        <w:instrText xml:space="preserve"> ADDIN EN.CITE &lt;EndNote&gt;&lt;Cite&gt;&lt;Author&gt;Doherty&lt;/Author&gt;&lt;Year&gt;1999&lt;/Year&gt;&lt;RecNum&gt;209&lt;/RecNum&gt;&lt;DisplayText&gt;&lt;style face="superscript"&gt;(25)&lt;/style&gt;&lt;/DisplayText&gt;&lt;record&gt;&lt;rec-number&gt;209&lt;/rec-number&gt;&lt;foreign-keys&gt;&lt;key app="EN" db-id="xftvffafmwpe0fedf055pwp7ts95t0ta0v0a"&gt;209&lt;/key&gt;&lt;/foreign-keys&gt;&lt;ref-type name="Report"&gt;27&lt;/ref-type&gt;&lt;contributors&gt;&lt;authors&gt;&lt;author&gt;Doherty, J, Taylor L&lt;/author&gt;&lt;/authors&gt;&lt;/contributors&gt;&lt;titles&gt;&lt;title&gt;Data Evaluation Record, Special RBC AChE in Humans&lt;/title&gt;&lt;/titles&gt;&lt;pages&gt;1-29 and Appendix&lt;/pages&gt;&lt;number&gt;TXR# 0050308&lt;/number&gt;&lt;dates&gt;&lt;year&gt;1999&lt;/year&gt;&lt;/dates&gt;&lt;publisher&gt;U.S. Environmental Protection Agency&lt;/publisher&gt;&lt;isbn&gt;DP Barcode: D255538; PC Code: 059101, Submission No. S561108&lt;/isbn&gt;&lt;urls&gt;&lt;/urls&gt;&lt;/record&gt;&lt;/Cite&gt;&lt;/EndNote&gt;</w:instrText>
      </w:r>
      <w:r w:rsidR="004375A8">
        <w:rPr>
          <w:rFonts w:ascii="Times New Roman" w:hAnsi="Times New Roman" w:cs="Times New Roman"/>
        </w:rPr>
        <w:fldChar w:fldCharType="separate"/>
      </w:r>
      <w:r w:rsidRPr="005972F9">
        <w:rPr>
          <w:rFonts w:ascii="Times New Roman" w:hAnsi="Times New Roman" w:cs="Times New Roman"/>
          <w:noProof/>
          <w:vertAlign w:val="superscript"/>
        </w:rPr>
        <w:t>(</w:t>
      </w:r>
      <w:hyperlink w:anchor="_ENREF_25" w:tooltip="Doherty, 1999 #209" w:history="1">
        <w:r w:rsidR="002B6D02" w:rsidRPr="005972F9">
          <w:rPr>
            <w:rFonts w:ascii="Times New Roman" w:hAnsi="Times New Roman" w:cs="Times New Roman"/>
            <w:noProof/>
            <w:vertAlign w:val="superscript"/>
          </w:rPr>
          <w:t>25</w:t>
        </w:r>
      </w:hyperlink>
      <w:r w:rsidRPr="005972F9">
        <w:rPr>
          <w:rFonts w:ascii="Times New Roman" w:hAnsi="Times New Roman" w:cs="Times New Roman"/>
          <w:noProof/>
          <w:vertAlign w:val="superscript"/>
        </w:rPr>
        <w:t>)</w:t>
      </w:r>
      <w:r w:rsidR="004375A8">
        <w:rPr>
          <w:rFonts w:ascii="Times New Roman" w:hAnsi="Times New Roman" w:cs="Times New Roman"/>
        </w:rPr>
        <w:fldChar w:fldCharType="end"/>
      </w:r>
    </w:p>
    <w:p w:rsidR="00FE0200" w:rsidRPr="00FF7A07" w:rsidRDefault="00FE0200" w:rsidP="00FE0200">
      <w:pPr>
        <w:rPr>
          <w:rFonts w:ascii="Times New Roman" w:hAnsi="Times New Roman" w:cs="Times New Roman"/>
        </w:rPr>
      </w:pPr>
      <w:proofErr w:type="spellStart"/>
      <w:proofErr w:type="gramStart"/>
      <w:r w:rsidRPr="00FF7A07">
        <w:rPr>
          <w:rFonts w:ascii="Times New Roman" w:hAnsi="Times New Roman" w:cs="Times New Roman"/>
          <w:sz w:val="28"/>
          <w:szCs w:val="28"/>
          <w:vertAlign w:val="superscript"/>
        </w:rPr>
        <w:t>c</w:t>
      </w:r>
      <w:r>
        <w:rPr>
          <w:rFonts w:ascii="Times New Roman" w:hAnsi="Times New Roman" w:cs="Times New Roman"/>
        </w:rPr>
        <w:t>From</w:t>
      </w:r>
      <w:proofErr w:type="spellEnd"/>
      <w:proofErr w:type="gramEnd"/>
      <w:r>
        <w:rPr>
          <w:rFonts w:ascii="Times New Roman" w:hAnsi="Times New Roman" w:cs="Times New Roman"/>
        </w:rPr>
        <w:t xml:space="preserve"> calculations by Dow authors from total TCP metabolite excretion up to 168 hours after dosing, adjusted by us for the individual amounts of TCP likely to remain in the body at 168 hours.</w:t>
      </w:r>
    </w:p>
    <w:p w:rsidR="00FE0200" w:rsidRDefault="00FE0200" w:rsidP="008E6C23">
      <w:pPr>
        <w:pBdr>
          <w:bottom w:val="single" w:sz="24" w:space="1" w:color="auto"/>
        </w:pBdr>
        <w:jc w:val="center"/>
        <w:rPr>
          <w:rFonts w:ascii="Times New Roman" w:hAnsi="Times New Roman"/>
        </w:rPr>
      </w:pPr>
      <w:r>
        <w:br w:type="page"/>
      </w:r>
    </w:p>
    <w:p w:rsidR="008E6C23" w:rsidRDefault="008E6C23" w:rsidP="008E6C23">
      <w:pPr>
        <w:pStyle w:val="Body"/>
      </w:pPr>
      <w:r>
        <w:lastRenderedPageBreak/>
        <w:t>1.21 to 1.54.  These findings therefore indicate a definitely greater metabolism rate than the than the 0.256/min central estimate (with ± 1 standard error confidence limits of 0.222-0.296) that was inferred from the Nolan et al. observation for men.</w:t>
      </w:r>
    </w:p>
    <w:p w:rsidR="00FE0200" w:rsidRDefault="00FE0200" w:rsidP="00FE0200">
      <w:pPr>
        <w:pStyle w:val="Body"/>
      </w:pPr>
      <w:r>
        <w:t xml:space="preserve">As with the in vitro </w:t>
      </w:r>
      <w:proofErr w:type="spellStart"/>
      <w:r>
        <w:t>microsome</w:t>
      </w:r>
      <w:proofErr w:type="spellEnd"/>
      <w:r>
        <w:t xml:space="preserve"> derived estimates of adult female metabolism rates, we need to add adjustments related to pregnant/</w:t>
      </w:r>
      <w:proofErr w:type="spellStart"/>
      <w:r>
        <w:t>nonpregnant</w:t>
      </w:r>
      <w:proofErr w:type="spellEnd"/>
      <w:r>
        <w:t xml:space="preserve"> differences in metabolism rates and tissue blood partition coefficients.  The adjustment for pregnancy and its uncertainty leads to a central estimate metabolism rate of 2.63/min with a combined ± 1 standard error confidence range of 1.15-6.03/min.  Nearly all (98%) of the uncertainty variance contributing to this range comes from the pregnant/</w:t>
      </w:r>
      <w:proofErr w:type="spellStart"/>
      <w:r>
        <w:t>nonpregnant</w:t>
      </w:r>
      <w:proofErr w:type="spellEnd"/>
      <w:r>
        <w:t xml:space="preserve"> adjustment rather than from the uncertainty derived from the </w:t>
      </w:r>
      <w:proofErr w:type="spellStart"/>
      <w:r>
        <w:t>Kisicki</w:t>
      </w:r>
      <w:proofErr w:type="spellEnd"/>
      <w:r>
        <w:t xml:space="preserve"> observations themselves.  Relative to the Nolan-derived estimates, the expected metabolism rate using the </w:t>
      </w:r>
      <w:proofErr w:type="spellStart"/>
      <w:r>
        <w:t>Kisicki</w:t>
      </w:r>
      <w:proofErr w:type="spellEnd"/>
      <w:r>
        <w:t xml:space="preserve"> observations is a bit more than 10-fold larger than those derived from the Nolan observations.  The ± 1 standard deviation range derived from the </w:t>
      </w:r>
      <w:proofErr w:type="spellStart"/>
      <w:r>
        <w:t>Kisicki</w:t>
      </w:r>
      <w:proofErr w:type="spellEnd"/>
      <w:r>
        <w:t xml:space="preserve"> data (5.25 fold) is slightly narrower than the 6.3 fold derived from the Nolan data.  This slightly narrower uncertainty range probably in part reflects the greater number of subjects studied by </w:t>
      </w:r>
      <w:proofErr w:type="spellStart"/>
      <w:r>
        <w:t>Kiskicki</w:t>
      </w:r>
      <w:proofErr w:type="spellEnd"/>
      <w:r>
        <w:t xml:space="preserve"> et al. and the absence of the need for the projection between males and non-pregnant females for the Nolan-calibrated case. </w:t>
      </w:r>
    </w:p>
    <w:p w:rsidR="00B438F0" w:rsidRPr="00B438F0" w:rsidRDefault="00FE0200" w:rsidP="00B438F0">
      <w:pPr>
        <w:pStyle w:val="Body"/>
      </w:pPr>
      <w:r>
        <w:t xml:space="preserve">Parallel to the Nolan-derived observations, Table </w:t>
      </w:r>
      <w:r w:rsidR="00B438F0">
        <w:t>S11</w:t>
      </w:r>
      <w:r>
        <w:t xml:space="preserve"> shows the consequences of our assessed uncertainties in both metabolism rate and tissue/blood partition coefficients for expected low dose CPF blood level to dose conversion factors for continuous 400-hour ingestion and inhalation exposures for pregnant women.  Again we see the much greater sensitivity of the dose conversion factor for ingestion to changes in metabolism rate.  Whereas the central estimate of the ingestion factor is increased by </w:t>
      </w:r>
      <w:proofErr w:type="spellStart"/>
      <w:r>
        <w:t>ten fold</w:t>
      </w:r>
      <w:proofErr w:type="spellEnd"/>
      <w:r>
        <w:t xml:space="preserve"> for the </w:t>
      </w:r>
      <w:proofErr w:type="spellStart"/>
      <w:r>
        <w:t>Kisicki</w:t>
      </w:r>
      <w:proofErr w:type="spellEnd"/>
      <w:r>
        <w:t xml:space="preserve">-based calibration relative to the </w:t>
      </w:r>
      <w:r w:rsidR="00B438F0">
        <w:t>Nolan calibration, the indicated central estimate ratio for the inhalation route is increased by less than two-fold.</w:t>
      </w:r>
    </w:p>
    <w:p w:rsidR="00B438F0" w:rsidRDefault="00B438F0" w:rsidP="00B438F0">
      <w:pPr>
        <w:pStyle w:val="Body"/>
      </w:pPr>
      <w:r>
        <w:t xml:space="preserve">From these data, an overall model of the uncertainty distribution for the inhalation </w:t>
      </w:r>
      <w:proofErr w:type="spellStart"/>
      <w:r>
        <w:t>dosimetry</w:t>
      </w:r>
      <w:proofErr w:type="spellEnd"/>
      <w:r>
        <w:t xml:space="preserve"> factor results in a geometric mean of 30.1 and 2.5</w:t>
      </w:r>
      <w:r w:rsidRPr="00901CFB">
        <w:rPr>
          <w:vertAlign w:val="superscript"/>
        </w:rPr>
        <w:t>th</w:t>
      </w:r>
      <w:r>
        <w:t xml:space="preserve"> – 97.5</w:t>
      </w:r>
      <w:r w:rsidRPr="00901CFB">
        <w:rPr>
          <w:vertAlign w:val="superscript"/>
        </w:rPr>
        <w:t>th</w:t>
      </w:r>
      <w:r>
        <w:t xml:space="preserve"> percentile confidence limits of 26.9 – 33.7.  This can be compared with the inhalation dose factor uncertainty distribution derived from the Nolan observations of a geometric mean 18.1 and 2.5 percentile – 97.5</w:t>
      </w:r>
      <w:r w:rsidRPr="00B4163B">
        <w:rPr>
          <w:vertAlign w:val="superscript"/>
        </w:rPr>
        <w:t>th</w:t>
      </w:r>
      <w:r>
        <w:t xml:space="preserve"> percentile confidence limits of 9.0-36.6. </w:t>
      </w:r>
    </w:p>
    <w:p w:rsidR="00B438F0" w:rsidRDefault="00B438F0" w:rsidP="00B438F0">
      <w:pPr>
        <w:pStyle w:val="Body"/>
      </w:pPr>
      <w:r>
        <w:t xml:space="preserve">It may well be asked why the expected range of the inhalation </w:t>
      </w:r>
      <w:proofErr w:type="spellStart"/>
      <w:r>
        <w:t>dosimetry</w:t>
      </w:r>
      <w:proofErr w:type="spellEnd"/>
      <w:r>
        <w:t xml:space="preserve"> factor is so much smaller for the </w:t>
      </w:r>
      <w:proofErr w:type="spellStart"/>
      <w:r>
        <w:t>Kisicki</w:t>
      </w:r>
      <w:proofErr w:type="spellEnd"/>
      <w:r>
        <w:t xml:space="preserve"> et al. calibration than for the Nolan et al. calibration.  The GSD for the uncertainty in underlying metabolism rates is not that much different (Nolan 1.455 </w:t>
      </w:r>
      <w:proofErr w:type="spellStart"/>
      <w:r>
        <w:t>vs</w:t>
      </w:r>
      <w:proofErr w:type="spellEnd"/>
      <w:r>
        <w:t xml:space="preserve"> </w:t>
      </w:r>
      <w:proofErr w:type="spellStart"/>
      <w:r>
        <w:t>Kisicki</w:t>
      </w:r>
      <w:proofErr w:type="spellEnd"/>
      <w:r>
        <w:t xml:space="preserve"> 1.298).  The answer is that for the higher range of </w:t>
      </w:r>
      <w:proofErr w:type="spellStart"/>
      <w:r>
        <w:t>Kisicki</w:t>
      </w:r>
      <w:proofErr w:type="spellEnd"/>
      <w:r>
        <w:t xml:space="preserve"> metabolism rates, the model is essentially flow limited.  For the ± 1 standard error range of the </w:t>
      </w:r>
      <w:proofErr w:type="spellStart"/>
      <w:r>
        <w:t>Kisicki</w:t>
      </w:r>
      <w:proofErr w:type="spellEnd"/>
      <w:r>
        <w:t>-calibrated metabolism rates, the fractional clearance of CPF from blood flowing through the liver is between 88.3-97.5%.  In contrast, for the  ± 1 standard error range of the Nolan-calibrated metabolism rates, the fraction clearance ranges from 38.8-80.4%--a much more consequential difference for the rates of overall elimination of CPF from the body.</w:t>
      </w:r>
    </w:p>
    <w:p w:rsidR="00B438F0" w:rsidRDefault="00B438F0" w:rsidP="00B438F0">
      <w:pPr>
        <w:pStyle w:val="Body"/>
      </w:pPr>
      <w:r>
        <w:t>A similarly derived lognormal distribution for the ingestion dose projection factor indicates a geometric mean of 478 and 2.5</w:t>
      </w:r>
      <w:r w:rsidRPr="00901CFB">
        <w:rPr>
          <w:vertAlign w:val="superscript"/>
        </w:rPr>
        <w:t>th</w:t>
      </w:r>
      <w:r>
        <w:t xml:space="preserve"> – 97.5</w:t>
      </w:r>
      <w:r w:rsidRPr="00901CFB">
        <w:rPr>
          <w:vertAlign w:val="superscript"/>
        </w:rPr>
        <w:t>th</w:t>
      </w:r>
      <w:r>
        <w:t xml:space="preserve"> percentile confidence limits of 93.9-2,438.  This can be compared to the similar statistics of geometric mean 99.4 and 2.5</w:t>
      </w:r>
      <w:r w:rsidRPr="00901CFB">
        <w:rPr>
          <w:vertAlign w:val="superscript"/>
        </w:rPr>
        <w:t>th</w:t>
      </w:r>
      <w:r>
        <w:t xml:space="preserve"> – 97.5</w:t>
      </w:r>
      <w:r w:rsidRPr="00901CFB">
        <w:rPr>
          <w:vertAlign w:val="superscript"/>
        </w:rPr>
        <w:t>th</w:t>
      </w:r>
      <w:r>
        <w:t xml:space="preserve"> percentile confidence </w:t>
      </w:r>
    </w:p>
    <w:p w:rsidR="00FE0200" w:rsidRDefault="00FE0200" w:rsidP="00FE0200"/>
    <w:p w:rsidR="00FE0200" w:rsidRDefault="00FE0200" w:rsidP="00FE0200">
      <w:pPr>
        <w:pBdr>
          <w:bottom w:val="single" w:sz="24" w:space="1" w:color="auto"/>
        </w:pBdr>
        <w:jc w:val="center"/>
      </w:pPr>
      <w:r>
        <w:br w:type="page"/>
      </w:r>
      <w:r>
        <w:rPr>
          <w:b/>
        </w:rPr>
        <w:lastRenderedPageBreak/>
        <w:t xml:space="preserve">Table </w:t>
      </w:r>
      <w:r w:rsidR="00B438F0">
        <w:rPr>
          <w:b/>
        </w:rPr>
        <w:t>S11</w:t>
      </w:r>
      <w:r>
        <w:rPr>
          <w:b/>
        </w:rPr>
        <w:t xml:space="preserve">.  </w:t>
      </w:r>
      <w:r>
        <w:t xml:space="preserve">Expected Consequences of ± 1 Standard Error Variations in Pregnancy-Related Metabolism Rates Inferred from the </w:t>
      </w:r>
      <w:proofErr w:type="spellStart"/>
      <w:r>
        <w:t>Kisicki</w:t>
      </w:r>
      <w:proofErr w:type="spellEnd"/>
      <w:r>
        <w:t xml:space="preserve"> et al. (1984) Observations and Tissue/Blood Partition Coefficients for the Low Dose CPF Blood Level to External Dose Conversion Factors for Ingestion </w:t>
      </w:r>
      <w:proofErr w:type="spellStart"/>
      <w:r>
        <w:t>vs</w:t>
      </w:r>
      <w:proofErr w:type="spellEnd"/>
      <w:r>
        <w:t xml:space="preserve"> Inhalation Routes of Exposure</w:t>
      </w:r>
    </w:p>
    <w:tbl>
      <w:tblPr>
        <w:tblW w:w="9300" w:type="dxa"/>
        <w:tblInd w:w="93" w:type="dxa"/>
        <w:tblLayout w:type="fixed"/>
        <w:tblLook w:val="04A0"/>
      </w:tblPr>
      <w:tblGrid>
        <w:gridCol w:w="3705"/>
        <w:gridCol w:w="355"/>
        <w:gridCol w:w="1365"/>
        <w:gridCol w:w="355"/>
        <w:gridCol w:w="1385"/>
        <w:gridCol w:w="355"/>
        <w:gridCol w:w="1425"/>
        <w:gridCol w:w="355"/>
      </w:tblGrid>
      <w:tr w:rsidR="00FE0200" w:rsidRPr="00790A85" w:rsidTr="003C352E">
        <w:trPr>
          <w:trHeight w:val="240"/>
        </w:trPr>
        <w:tc>
          <w:tcPr>
            <w:tcW w:w="4060" w:type="dxa"/>
            <w:gridSpan w:val="2"/>
            <w:tcBorders>
              <w:top w:val="nil"/>
              <w:left w:val="nil"/>
              <w:bottom w:val="single" w:sz="6" w:space="0" w:color="auto"/>
              <w:right w:val="nil"/>
            </w:tcBorders>
            <w:shd w:val="clear" w:color="auto" w:fill="auto"/>
            <w:noWrap/>
            <w:vAlign w:val="bottom"/>
            <w:hideMark/>
          </w:tcPr>
          <w:p w:rsidR="00FE0200" w:rsidRPr="007B7E3F" w:rsidRDefault="00FE0200" w:rsidP="003C352E">
            <w:pPr>
              <w:rPr>
                <w:rFonts w:ascii="Times" w:eastAsia="Times New Roman" w:hAnsi="Times" w:cs="Times New Roman"/>
                <w:b/>
                <w:sz w:val="20"/>
                <w:szCs w:val="20"/>
                <w:lang w:eastAsia="en-US"/>
              </w:rPr>
            </w:pPr>
          </w:p>
        </w:tc>
        <w:tc>
          <w:tcPr>
            <w:tcW w:w="1720" w:type="dxa"/>
            <w:gridSpan w:val="2"/>
            <w:tcBorders>
              <w:top w:val="nil"/>
              <w:left w:val="nil"/>
              <w:bottom w:val="single" w:sz="6" w:space="0" w:color="auto"/>
              <w:right w:val="nil"/>
            </w:tcBorders>
            <w:shd w:val="clear" w:color="auto" w:fill="auto"/>
            <w:noWrap/>
            <w:vAlign w:val="bottom"/>
            <w:hideMark/>
          </w:tcPr>
          <w:p w:rsidR="00FE0200" w:rsidRPr="00790A85" w:rsidRDefault="00FE0200" w:rsidP="003C352E">
            <w:pPr>
              <w:rPr>
                <w:rFonts w:ascii="Times" w:eastAsia="Times New Roman" w:hAnsi="Times" w:cs="Times New Roman"/>
                <w:sz w:val="20"/>
                <w:szCs w:val="20"/>
                <w:lang w:eastAsia="en-US"/>
              </w:rPr>
            </w:pPr>
            <w:r w:rsidRPr="00790A85">
              <w:rPr>
                <w:rFonts w:ascii="Times" w:eastAsia="Times New Roman" w:hAnsi="Times" w:cs="Times New Roman"/>
                <w:sz w:val="20"/>
                <w:szCs w:val="20"/>
                <w:lang w:eastAsia="en-US"/>
              </w:rPr>
              <w:t xml:space="preserve">cent </w:t>
            </w:r>
            <w:proofErr w:type="spellStart"/>
            <w:r w:rsidRPr="00790A85">
              <w:rPr>
                <w:rFonts w:ascii="Times" w:eastAsia="Times New Roman" w:hAnsi="Times" w:cs="Times New Roman"/>
                <w:sz w:val="20"/>
                <w:szCs w:val="20"/>
                <w:lang w:eastAsia="en-US"/>
              </w:rPr>
              <w:t>est</w:t>
            </w:r>
            <w:proofErr w:type="spellEnd"/>
            <w:r w:rsidRPr="00790A85">
              <w:rPr>
                <w:rFonts w:ascii="Times" w:eastAsia="Times New Roman" w:hAnsi="Times" w:cs="Times New Roman"/>
                <w:sz w:val="20"/>
                <w:szCs w:val="20"/>
                <w:lang w:eastAsia="en-US"/>
              </w:rPr>
              <w:t xml:space="preserve"> </w:t>
            </w:r>
            <w:proofErr w:type="spellStart"/>
            <w:r w:rsidRPr="00790A85">
              <w:rPr>
                <w:rFonts w:ascii="Times" w:eastAsia="Times New Roman" w:hAnsi="Times" w:cs="Times New Roman"/>
                <w:sz w:val="20"/>
                <w:szCs w:val="20"/>
                <w:lang w:eastAsia="en-US"/>
              </w:rPr>
              <w:t>metab</w:t>
            </w:r>
            <w:proofErr w:type="spellEnd"/>
            <w:r w:rsidRPr="00790A85">
              <w:rPr>
                <w:rFonts w:ascii="Times" w:eastAsia="Times New Roman" w:hAnsi="Times" w:cs="Times New Roman"/>
                <w:sz w:val="20"/>
                <w:szCs w:val="20"/>
                <w:lang w:eastAsia="en-US"/>
              </w:rPr>
              <w:t xml:space="preserve"> </w:t>
            </w:r>
            <w:proofErr w:type="spellStart"/>
            <w:r w:rsidRPr="00790A85">
              <w:rPr>
                <w:rFonts w:ascii="Times" w:eastAsia="Times New Roman" w:hAnsi="Times" w:cs="Times New Roman"/>
                <w:sz w:val="20"/>
                <w:szCs w:val="20"/>
                <w:lang w:eastAsia="en-US"/>
              </w:rPr>
              <w:t>preg</w:t>
            </w:r>
            <w:proofErr w:type="spellEnd"/>
          </w:p>
        </w:tc>
        <w:tc>
          <w:tcPr>
            <w:tcW w:w="1740" w:type="dxa"/>
            <w:gridSpan w:val="2"/>
            <w:tcBorders>
              <w:top w:val="nil"/>
              <w:left w:val="nil"/>
              <w:bottom w:val="single" w:sz="6" w:space="0" w:color="auto"/>
              <w:right w:val="nil"/>
            </w:tcBorders>
            <w:shd w:val="clear" w:color="auto" w:fill="auto"/>
            <w:noWrap/>
            <w:vAlign w:val="bottom"/>
            <w:hideMark/>
          </w:tcPr>
          <w:p w:rsidR="00FE0200" w:rsidRPr="00790A85" w:rsidRDefault="00FE0200" w:rsidP="003C352E">
            <w:pPr>
              <w:rPr>
                <w:rFonts w:ascii="Times" w:eastAsia="Times New Roman" w:hAnsi="Times" w:cs="Times New Roman"/>
                <w:sz w:val="20"/>
                <w:szCs w:val="20"/>
                <w:lang w:eastAsia="en-US"/>
              </w:rPr>
            </w:pPr>
            <w:r w:rsidRPr="00790A85">
              <w:rPr>
                <w:rFonts w:ascii="Times" w:eastAsia="Times New Roman" w:hAnsi="Times" w:cs="Times New Roman"/>
                <w:sz w:val="20"/>
                <w:szCs w:val="20"/>
                <w:lang w:eastAsia="en-US"/>
              </w:rPr>
              <w:t xml:space="preserve">"-1 SD </w:t>
            </w:r>
            <w:proofErr w:type="spellStart"/>
            <w:r w:rsidRPr="00790A85">
              <w:rPr>
                <w:rFonts w:ascii="Times" w:eastAsia="Times New Roman" w:hAnsi="Times" w:cs="Times New Roman"/>
                <w:sz w:val="20"/>
                <w:szCs w:val="20"/>
                <w:lang w:eastAsia="en-US"/>
              </w:rPr>
              <w:t>metab</w:t>
            </w:r>
            <w:proofErr w:type="spellEnd"/>
            <w:r w:rsidRPr="00790A85">
              <w:rPr>
                <w:rFonts w:ascii="Times" w:eastAsia="Times New Roman" w:hAnsi="Times" w:cs="Times New Roman"/>
                <w:sz w:val="20"/>
                <w:szCs w:val="20"/>
                <w:lang w:eastAsia="en-US"/>
              </w:rPr>
              <w:t xml:space="preserve"> </w:t>
            </w:r>
            <w:proofErr w:type="spellStart"/>
            <w:r w:rsidRPr="00790A85">
              <w:rPr>
                <w:rFonts w:ascii="Times" w:eastAsia="Times New Roman" w:hAnsi="Times" w:cs="Times New Roman"/>
                <w:sz w:val="20"/>
                <w:szCs w:val="20"/>
                <w:lang w:eastAsia="en-US"/>
              </w:rPr>
              <w:t>preg</w:t>
            </w:r>
            <w:proofErr w:type="spellEnd"/>
            <w:r w:rsidRPr="00790A85">
              <w:rPr>
                <w:rFonts w:ascii="Times" w:eastAsia="Times New Roman" w:hAnsi="Times" w:cs="Times New Roman"/>
                <w:sz w:val="20"/>
                <w:szCs w:val="20"/>
                <w:lang w:eastAsia="en-US"/>
              </w:rPr>
              <w:t>"</w:t>
            </w:r>
          </w:p>
        </w:tc>
        <w:tc>
          <w:tcPr>
            <w:tcW w:w="1780" w:type="dxa"/>
            <w:gridSpan w:val="2"/>
            <w:tcBorders>
              <w:top w:val="nil"/>
              <w:left w:val="nil"/>
              <w:bottom w:val="single" w:sz="6" w:space="0" w:color="auto"/>
              <w:right w:val="nil"/>
            </w:tcBorders>
            <w:shd w:val="clear" w:color="auto" w:fill="auto"/>
            <w:noWrap/>
            <w:vAlign w:val="bottom"/>
            <w:hideMark/>
          </w:tcPr>
          <w:p w:rsidR="00FE0200" w:rsidRPr="00790A85" w:rsidRDefault="00FE0200" w:rsidP="003C352E">
            <w:pPr>
              <w:rPr>
                <w:rFonts w:ascii="Times" w:eastAsia="Times New Roman" w:hAnsi="Times" w:cs="Times New Roman"/>
                <w:sz w:val="20"/>
                <w:szCs w:val="20"/>
                <w:lang w:eastAsia="en-US"/>
              </w:rPr>
            </w:pPr>
            <w:r w:rsidRPr="00790A85">
              <w:rPr>
                <w:rFonts w:ascii="Times" w:eastAsia="Times New Roman" w:hAnsi="Times" w:cs="Times New Roman"/>
                <w:sz w:val="20"/>
                <w:szCs w:val="20"/>
                <w:lang w:eastAsia="en-US"/>
              </w:rPr>
              <w:t xml:space="preserve">"+1 SD </w:t>
            </w:r>
            <w:proofErr w:type="spellStart"/>
            <w:r w:rsidRPr="00790A85">
              <w:rPr>
                <w:rFonts w:ascii="Times" w:eastAsia="Times New Roman" w:hAnsi="Times" w:cs="Times New Roman"/>
                <w:sz w:val="20"/>
                <w:szCs w:val="20"/>
                <w:lang w:eastAsia="en-US"/>
              </w:rPr>
              <w:t>metab</w:t>
            </w:r>
            <w:proofErr w:type="spellEnd"/>
            <w:r w:rsidRPr="00790A85">
              <w:rPr>
                <w:rFonts w:ascii="Times" w:eastAsia="Times New Roman" w:hAnsi="Times" w:cs="Times New Roman"/>
                <w:sz w:val="20"/>
                <w:szCs w:val="20"/>
                <w:lang w:eastAsia="en-US"/>
              </w:rPr>
              <w:t xml:space="preserve"> </w:t>
            </w:r>
            <w:proofErr w:type="spellStart"/>
            <w:r w:rsidRPr="00790A85">
              <w:rPr>
                <w:rFonts w:ascii="Times" w:eastAsia="Times New Roman" w:hAnsi="Times" w:cs="Times New Roman"/>
                <w:sz w:val="20"/>
                <w:szCs w:val="20"/>
                <w:lang w:eastAsia="en-US"/>
              </w:rPr>
              <w:t>preg</w:t>
            </w:r>
            <w:proofErr w:type="spellEnd"/>
            <w:r w:rsidRPr="00790A85">
              <w:rPr>
                <w:rFonts w:ascii="Times" w:eastAsia="Times New Roman" w:hAnsi="Times" w:cs="Times New Roman"/>
                <w:sz w:val="20"/>
                <w:szCs w:val="20"/>
                <w:lang w:eastAsia="en-US"/>
              </w:rPr>
              <w:t>"</w:t>
            </w:r>
          </w:p>
        </w:tc>
      </w:tr>
      <w:tr w:rsidR="00FE0200" w:rsidRPr="00790A85" w:rsidTr="003C352E">
        <w:trPr>
          <w:gridAfter w:val="1"/>
          <w:wAfter w:w="355" w:type="dxa"/>
          <w:trHeight w:val="240"/>
        </w:trPr>
        <w:tc>
          <w:tcPr>
            <w:tcW w:w="3705" w:type="dxa"/>
            <w:tcBorders>
              <w:top w:val="nil"/>
              <w:left w:val="nil"/>
              <w:bottom w:val="nil"/>
              <w:right w:val="nil"/>
            </w:tcBorders>
            <w:shd w:val="clear" w:color="auto" w:fill="auto"/>
            <w:noWrap/>
            <w:vAlign w:val="bottom"/>
          </w:tcPr>
          <w:p w:rsidR="00FE0200" w:rsidRPr="00790A85" w:rsidRDefault="00FE0200" w:rsidP="003C352E">
            <w:pPr>
              <w:rPr>
                <w:rFonts w:ascii="Times" w:eastAsia="Times New Roman" w:hAnsi="Times" w:cs="Times New Roman"/>
                <w:sz w:val="20"/>
                <w:szCs w:val="20"/>
                <w:lang w:eastAsia="en-US"/>
              </w:rPr>
            </w:pPr>
            <w:r w:rsidRPr="007B7E3F">
              <w:rPr>
                <w:rFonts w:ascii="Times" w:eastAsia="Times New Roman" w:hAnsi="Times" w:cs="Times New Roman"/>
                <w:b/>
                <w:sz w:val="20"/>
                <w:szCs w:val="20"/>
                <w:lang w:eastAsia="en-US"/>
              </w:rPr>
              <w:t>Baseline partition coefficients</w:t>
            </w:r>
          </w:p>
        </w:tc>
        <w:tc>
          <w:tcPr>
            <w:tcW w:w="1720" w:type="dxa"/>
            <w:gridSpan w:val="2"/>
            <w:tcBorders>
              <w:top w:val="nil"/>
              <w:left w:val="nil"/>
              <w:bottom w:val="nil"/>
              <w:right w:val="nil"/>
            </w:tcBorders>
            <w:shd w:val="clear" w:color="auto" w:fill="auto"/>
            <w:noWrap/>
            <w:vAlign w:val="bottom"/>
          </w:tcPr>
          <w:p w:rsidR="00FE0200" w:rsidRPr="00114627" w:rsidRDefault="00FE0200" w:rsidP="003C352E">
            <w:pPr>
              <w:jc w:val="cente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tcPr>
          <w:p w:rsidR="00FE0200" w:rsidRPr="00114627" w:rsidRDefault="00FE0200" w:rsidP="003C352E">
            <w:pPr>
              <w:jc w:val="center"/>
              <w:rPr>
                <w:rFonts w:ascii="Times New Roman" w:eastAsia="Times New Roman" w:hAnsi="Times New Roman" w:cs="Times New Roman"/>
                <w:sz w:val="20"/>
                <w:szCs w:val="20"/>
              </w:rPr>
            </w:pPr>
          </w:p>
        </w:tc>
        <w:tc>
          <w:tcPr>
            <w:tcW w:w="1780" w:type="dxa"/>
            <w:gridSpan w:val="2"/>
            <w:tcBorders>
              <w:top w:val="nil"/>
              <w:left w:val="nil"/>
              <w:bottom w:val="nil"/>
              <w:right w:val="nil"/>
            </w:tcBorders>
            <w:shd w:val="clear" w:color="auto" w:fill="auto"/>
            <w:noWrap/>
            <w:vAlign w:val="bottom"/>
          </w:tcPr>
          <w:p w:rsidR="00FE0200" w:rsidRPr="00114627" w:rsidRDefault="00FE0200" w:rsidP="003C352E">
            <w:pPr>
              <w:jc w:val="center"/>
              <w:rPr>
                <w:rFonts w:ascii="Times New Roman" w:eastAsia="Times New Roman" w:hAnsi="Times New Roman" w:cs="Times New Roman"/>
                <w:sz w:val="20"/>
                <w:szCs w:val="20"/>
              </w:rPr>
            </w:pPr>
          </w:p>
        </w:tc>
      </w:tr>
      <w:tr w:rsidR="00FE0200" w:rsidRPr="00790A85" w:rsidTr="003C352E">
        <w:trPr>
          <w:gridAfter w:val="1"/>
          <w:wAfter w:w="355" w:type="dxa"/>
          <w:trHeight w:val="240"/>
        </w:trPr>
        <w:tc>
          <w:tcPr>
            <w:tcW w:w="3705" w:type="dxa"/>
            <w:tcBorders>
              <w:top w:val="nil"/>
              <w:left w:val="nil"/>
              <w:bottom w:val="nil"/>
              <w:right w:val="nil"/>
            </w:tcBorders>
            <w:shd w:val="clear" w:color="auto" w:fill="auto"/>
            <w:noWrap/>
            <w:vAlign w:val="bottom"/>
            <w:hideMark/>
          </w:tcPr>
          <w:p w:rsidR="00FE0200" w:rsidRPr="00790A85" w:rsidRDefault="00B438F0" w:rsidP="003C352E">
            <w:pPr>
              <w:rPr>
                <w:rFonts w:ascii="Times" w:eastAsia="Times New Roman" w:hAnsi="Times" w:cs="Times New Roman"/>
                <w:sz w:val="20"/>
                <w:szCs w:val="20"/>
                <w:lang w:eastAsia="en-US"/>
              </w:rPr>
            </w:pPr>
            <w:r w:rsidRPr="00790A85">
              <w:rPr>
                <w:rFonts w:ascii="Times" w:eastAsia="Times New Roman" w:hAnsi="Times" w:cs="Times New Roman"/>
                <w:sz w:val="20"/>
                <w:szCs w:val="20"/>
                <w:lang w:eastAsia="en-US"/>
              </w:rPr>
              <w:t>I</w:t>
            </w:r>
            <w:r w:rsidR="00FE0200" w:rsidRPr="00790A85">
              <w:rPr>
                <w:rFonts w:ascii="Times" w:eastAsia="Times New Roman" w:hAnsi="Times" w:cs="Times New Roman"/>
                <w:sz w:val="20"/>
                <w:szCs w:val="20"/>
                <w:lang w:eastAsia="en-US"/>
              </w:rPr>
              <w:t>ngestion</w:t>
            </w:r>
          </w:p>
        </w:tc>
        <w:tc>
          <w:tcPr>
            <w:tcW w:w="1720" w:type="dxa"/>
            <w:gridSpan w:val="2"/>
            <w:tcBorders>
              <w:top w:val="nil"/>
              <w:left w:val="nil"/>
              <w:bottom w:val="nil"/>
              <w:right w:val="nil"/>
            </w:tcBorders>
            <w:shd w:val="clear" w:color="auto" w:fill="auto"/>
            <w:noWrap/>
            <w:vAlign w:val="bottom"/>
            <w:hideMark/>
          </w:tcPr>
          <w:p w:rsidR="00FE0200" w:rsidRPr="00114627" w:rsidRDefault="00FE0200" w:rsidP="003C352E">
            <w:pPr>
              <w:jc w:val="center"/>
              <w:rPr>
                <w:rFonts w:ascii="Times New Roman" w:eastAsia="Times New Roman" w:hAnsi="Times New Roman" w:cs="Times New Roman"/>
                <w:sz w:val="20"/>
                <w:szCs w:val="20"/>
                <w:lang w:eastAsia="en-US"/>
              </w:rPr>
            </w:pPr>
            <w:r w:rsidRPr="00114627">
              <w:rPr>
                <w:rFonts w:ascii="Times New Roman" w:eastAsia="Times New Roman" w:hAnsi="Times New Roman" w:cs="Times New Roman"/>
                <w:sz w:val="20"/>
                <w:szCs w:val="20"/>
              </w:rPr>
              <w:t>478</w:t>
            </w:r>
          </w:p>
        </w:tc>
        <w:tc>
          <w:tcPr>
            <w:tcW w:w="1740" w:type="dxa"/>
            <w:gridSpan w:val="2"/>
            <w:tcBorders>
              <w:top w:val="nil"/>
              <w:left w:val="nil"/>
              <w:bottom w:val="nil"/>
              <w:right w:val="nil"/>
            </w:tcBorders>
            <w:shd w:val="clear" w:color="auto" w:fill="auto"/>
            <w:noWrap/>
            <w:vAlign w:val="bottom"/>
            <w:hideMark/>
          </w:tcPr>
          <w:p w:rsidR="00FE0200" w:rsidRPr="00114627" w:rsidRDefault="00FE0200" w:rsidP="003C352E">
            <w:pPr>
              <w:jc w:val="center"/>
              <w:rPr>
                <w:rFonts w:ascii="Times New Roman" w:eastAsia="Times New Roman" w:hAnsi="Times New Roman" w:cs="Times New Roman"/>
                <w:sz w:val="20"/>
                <w:szCs w:val="20"/>
                <w:lang w:eastAsia="en-US"/>
              </w:rPr>
            </w:pPr>
            <w:r w:rsidRPr="00114627">
              <w:rPr>
                <w:rFonts w:ascii="Times New Roman" w:eastAsia="Times New Roman" w:hAnsi="Times New Roman" w:cs="Times New Roman"/>
                <w:sz w:val="20"/>
                <w:szCs w:val="20"/>
              </w:rPr>
              <w:t>209</w:t>
            </w:r>
          </w:p>
        </w:tc>
        <w:tc>
          <w:tcPr>
            <w:tcW w:w="1780" w:type="dxa"/>
            <w:gridSpan w:val="2"/>
            <w:tcBorders>
              <w:top w:val="nil"/>
              <w:left w:val="nil"/>
              <w:bottom w:val="nil"/>
              <w:right w:val="nil"/>
            </w:tcBorders>
            <w:shd w:val="clear" w:color="auto" w:fill="auto"/>
            <w:noWrap/>
            <w:vAlign w:val="bottom"/>
            <w:hideMark/>
          </w:tcPr>
          <w:p w:rsidR="00FE0200" w:rsidRPr="00114627" w:rsidRDefault="00FE0200" w:rsidP="003C352E">
            <w:pPr>
              <w:jc w:val="center"/>
              <w:rPr>
                <w:rFonts w:ascii="Times New Roman" w:eastAsia="Times New Roman" w:hAnsi="Times New Roman" w:cs="Times New Roman"/>
                <w:sz w:val="20"/>
                <w:szCs w:val="20"/>
                <w:lang w:eastAsia="en-US"/>
              </w:rPr>
            </w:pPr>
            <w:r w:rsidRPr="00114627">
              <w:rPr>
                <w:rFonts w:ascii="Times New Roman" w:eastAsia="Times New Roman" w:hAnsi="Times New Roman" w:cs="Times New Roman"/>
                <w:sz w:val="20"/>
                <w:szCs w:val="20"/>
              </w:rPr>
              <w:t>1095</w:t>
            </w:r>
          </w:p>
        </w:tc>
      </w:tr>
      <w:tr w:rsidR="00FE0200" w:rsidRPr="00790A85" w:rsidTr="003C352E">
        <w:trPr>
          <w:gridAfter w:val="1"/>
          <w:wAfter w:w="355" w:type="dxa"/>
          <w:trHeight w:val="240"/>
        </w:trPr>
        <w:tc>
          <w:tcPr>
            <w:tcW w:w="3705" w:type="dxa"/>
            <w:tcBorders>
              <w:top w:val="nil"/>
              <w:left w:val="nil"/>
              <w:bottom w:val="nil"/>
              <w:right w:val="nil"/>
            </w:tcBorders>
            <w:shd w:val="clear" w:color="auto" w:fill="auto"/>
            <w:noWrap/>
            <w:vAlign w:val="bottom"/>
            <w:hideMark/>
          </w:tcPr>
          <w:p w:rsidR="00FE0200" w:rsidRPr="00790A85" w:rsidRDefault="00B438F0" w:rsidP="003C352E">
            <w:pPr>
              <w:rPr>
                <w:rFonts w:ascii="Times" w:eastAsia="Times New Roman" w:hAnsi="Times" w:cs="Times New Roman"/>
                <w:sz w:val="20"/>
                <w:szCs w:val="20"/>
                <w:lang w:eastAsia="en-US"/>
              </w:rPr>
            </w:pPr>
            <w:r w:rsidRPr="00790A85">
              <w:rPr>
                <w:rFonts w:ascii="Times" w:eastAsia="Times New Roman" w:hAnsi="Times" w:cs="Times New Roman"/>
                <w:sz w:val="20"/>
                <w:szCs w:val="20"/>
                <w:lang w:eastAsia="en-US"/>
              </w:rPr>
              <w:t>I</w:t>
            </w:r>
            <w:r w:rsidR="00FE0200" w:rsidRPr="00790A85">
              <w:rPr>
                <w:rFonts w:ascii="Times" w:eastAsia="Times New Roman" w:hAnsi="Times" w:cs="Times New Roman"/>
                <w:sz w:val="20"/>
                <w:szCs w:val="20"/>
                <w:lang w:eastAsia="en-US"/>
              </w:rPr>
              <w:t>nhalation</w:t>
            </w:r>
          </w:p>
        </w:tc>
        <w:tc>
          <w:tcPr>
            <w:tcW w:w="1720" w:type="dxa"/>
            <w:gridSpan w:val="2"/>
            <w:tcBorders>
              <w:top w:val="nil"/>
              <w:left w:val="nil"/>
              <w:bottom w:val="nil"/>
              <w:right w:val="nil"/>
            </w:tcBorders>
            <w:shd w:val="clear" w:color="auto" w:fill="auto"/>
            <w:noWrap/>
            <w:vAlign w:val="bottom"/>
            <w:hideMark/>
          </w:tcPr>
          <w:p w:rsidR="00FE0200" w:rsidRPr="00114627" w:rsidRDefault="00FE0200" w:rsidP="003C352E">
            <w:pPr>
              <w:jc w:val="center"/>
              <w:rPr>
                <w:rFonts w:ascii="Times New Roman" w:eastAsia="Times New Roman" w:hAnsi="Times New Roman" w:cs="Times New Roman"/>
                <w:sz w:val="20"/>
                <w:szCs w:val="20"/>
                <w:lang w:eastAsia="en-US"/>
              </w:rPr>
            </w:pPr>
            <w:r w:rsidRPr="00114627">
              <w:rPr>
                <w:rFonts w:ascii="Times New Roman" w:eastAsia="Times New Roman" w:hAnsi="Times New Roman" w:cs="Times New Roman"/>
                <w:sz w:val="20"/>
                <w:szCs w:val="20"/>
              </w:rPr>
              <w:t>30.5</w:t>
            </w:r>
          </w:p>
        </w:tc>
        <w:tc>
          <w:tcPr>
            <w:tcW w:w="1740" w:type="dxa"/>
            <w:gridSpan w:val="2"/>
            <w:tcBorders>
              <w:top w:val="nil"/>
              <w:left w:val="nil"/>
              <w:bottom w:val="nil"/>
              <w:right w:val="nil"/>
            </w:tcBorders>
            <w:shd w:val="clear" w:color="auto" w:fill="auto"/>
            <w:noWrap/>
            <w:vAlign w:val="bottom"/>
            <w:hideMark/>
          </w:tcPr>
          <w:p w:rsidR="00FE0200" w:rsidRPr="00114627" w:rsidRDefault="00FE0200" w:rsidP="003C352E">
            <w:pPr>
              <w:jc w:val="center"/>
              <w:rPr>
                <w:rFonts w:ascii="Times New Roman" w:eastAsia="Times New Roman" w:hAnsi="Times New Roman" w:cs="Times New Roman"/>
                <w:sz w:val="20"/>
                <w:szCs w:val="20"/>
                <w:lang w:eastAsia="en-US"/>
              </w:rPr>
            </w:pPr>
            <w:r w:rsidRPr="00114627">
              <w:rPr>
                <w:rFonts w:ascii="Times New Roman" w:eastAsia="Times New Roman" w:hAnsi="Times New Roman" w:cs="Times New Roman"/>
                <w:sz w:val="20"/>
                <w:szCs w:val="20"/>
              </w:rPr>
              <w:t>28.3</w:t>
            </w:r>
          </w:p>
        </w:tc>
        <w:tc>
          <w:tcPr>
            <w:tcW w:w="1780" w:type="dxa"/>
            <w:gridSpan w:val="2"/>
            <w:tcBorders>
              <w:top w:val="nil"/>
              <w:left w:val="nil"/>
              <w:bottom w:val="nil"/>
              <w:right w:val="nil"/>
            </w:tcBorders>
            <w:shd w:val="clear" w:color="auto" w:fill="auto"/>
            <w:noWrap/>
            <w:vAlign w:val="bottom"/>
            <w:hideMark/>
          </w:tcPr>
          <w:p w:rsidR="00FE0200" w:rsidRPr="00114627" w:rsidRDefault="00FE0200" w:rsidP="003C352E">
            <w:pPr>
              <w:jc w:val="center"/>
              <w:rPr>
                <w:rFonts w:ascii="Times New Roman" w:eastAsia="Times New Roman" w:hAnsi="Times New Roman" w:cs="Times New Roman"/>
                <w:sz w:val="20"/>
                <w:szCs w:val="20"/>
                <w:lang w:eastAsia="en-US"/>
              </w:rPr>
            </w:pPr>
            <w:r w:rsidRPr="00114627">
              <w:rPr>
                <w:rFonts w:ascii="Times New Roman" w:eastAsia="Times New Roman" w:hAnsi="Times New Roman" w:cs="Times New Roman"/>
                <w:sz w:val="20"/>
                <w:szCs w:val="20"/>
              </w:rPr>
              <w:t>31.6</w:t>
            </w:r>
          </w:p>
        </w:tc>
      </w:tr>
      <w:tr w:rsidR="00FE0200" w:rsidRPr="00790A85" w:rsidTr="003C352E">
        <w:trPr>
          <w:gridAfter w:val="1"/>
          <w:wAfter w:w="355" w:type="dxa"/>
          <w:trHeight w:val="240"/>
        </w:trPr>
        <w:tc>
          <w:tcPr>
            <w:tcW w:w="3705" w:type="dxa"/>
            <w:tcBorders>
              <w:top w:val="nil"/>
              <w:left w:val="nil"/>
              <w:bottom w:val="nil"/>
              <w:right w:val="nil"/>
            </w:tcBorders>
            <w:shd w:val="clear" w:color="auto" w:fill="auto"/>
            <w:noWrap/>
            <w:vAlign w:val="bottom"/>
            <w:hideMark/>
          </w:tcPr>
          <w:p w:rsidR="00FE0200" w:rsidRPr="00790A85" w:rsidRDefault="00FE0200" w:rsidP="003C352E">
            <w:pPr>
              <w:rPr>
                <w:rFonts w:ascii="Times" w:eastAsia="Times New Roman" w:hAnsi="Times" w:cs="Times New Roman"/>
                <w:sz w:val="20"/>
                <w:szCs w:val="20"/>
                <w:lang w:eastAsia="en-US"/>
              </w:rPr>
            </w:pPr>
            <w:r w:rsidRPr="00790A85">
              <w:rPr>
                <w:rFonts w:ascii="Times" w:eastAsia="Times New Roman" w:hAnsi="Times" w:cs="Times New Roman"/>
                <w:sz w:val="20"/>
                <w:szCs w:val="20"/>
                <w:lang w:eastAsia="en-US"/>
              </w:rPr>
              <w:t>ingestion/inhalation ratio</w:t>
            </w:r>
          </w:p>
        </w:tc>
        <w:tc>
          <w:tcPr>
            <w:tcW w:w="1720" w:type="dxa"/>
            <w:gridSpan w:val="2"/>
            <w:tcBorders>
              <w:top w:val="nil"/>
              <w:left w:val="nil"/>
              <w:bottom w:val="nil"/>
              <w:right w:val="nil"/>
            </w:tcBorders>
            <w:shd w:val="clear" w:color="auto" w:fill="auto"/>
            <w:noWrap/>
            <w:vAlign w:val="bottom"/>
            <w:hideMark/>
          </w:tcPr>
          <w:p w:rsidR="00FE0200" w:rsidRPr="00114627" w:rsidRDefault="00FE0200" w:rsidP="003C352E">
            <w:pPr>
              <w:jc w:val="center"/>
              <w:rPr>
                <w:rFonts w:ascii="Times New Roman" w:eastAsia="Times New Roman" w:hAnsi="Times New Roman" w:cs="Times New Roman"/>
                <w:sz w:val="20"/>
                <w:szCs w:val="20"/>
                <w:lang w:eastAsia="en-US"/>
              </w:rPr>
            </w:pPr>
            <w:r w:rsidRPr="00114627">
              <w:rPr>
                <w:rFonts w:ascii="Times New Roman" w:eastAsia="Times New Roman" w:hAnsi="Times New Roman" w:cs="Times New Roman"/>
                <w:sz w:val="20"/>
                <w:szCs w:val="20"/>
              </w:rPr>
              <w:t>15.7</w:t>
            </w:r>
          </w:p>
        </w:tc>
        <w:tc>
          <w:tcPr>
            <w:tcW w:w="1740" w:type="dxa"/>
            <w:gridSpan w:val="2"/>
            <w:tcBorders>
              <w:top w:val="nil"/>
              <w:left w:val="nil"/>
              <w:bottom w:val="nil"/>
              <w:right w:val="nil"/>
            </w:tcBorders>
            <w:shd w:val="clear" w:color="auto" w:fill="auto"/>
            <w:noWrap/>
            <w:vAlign w:val="bottom"/>
            <w:hideMark/>
          </w:tcPr>
          <w:p w:rsidR="00FE0200" w:rsidRPr="00114627" w:rsidRDefault="00FE0200" w:rsidP="003C352E">
            <w:pPr>
              <w:jc w:val="center"/>
              <w:rPr>
                <w:rFonts w:ascii="Times New Roman" w:eastAsia="Times New Roman" w:hAnsi="Times New Roman" w:cs="Times New Roman"/>
                <w:sz w:val="20"/>
                <w:szCs w:val="20"/>
                <w:lang w:eastAsia="en-US"/>
              </w:rPr>
            </w:pPr>
            <w:r w:rsidRPr="00114627">
              <w:rPr>
                <w:rFonts w:ascii="Times New Roman" w:eastAsia="Times New Roman" w:hAnsi="Times New Roman" w:cs="Times New Roman"/>
                <w:sz w:val="20"/>
                <w:szCs w:val="20"/>
              </w:rPr>
              <w:t>7.4</w:t>
            </w:r>
          </w:p>
        </w:tc>
        <w:tc>
          <w:tcPr>
            <w:tcW w:w="1780" w:type="dxa"/>
            <w:gridSpan w:val="2"/>
            <w:tcBorders>
              <w:top w:val="nil"/>
              <w:left w:val="nil"/>
              <w:bottom w:val="nil"/>
              <w:right w:val="nil"/>
            </w:tcBorders>
            <w:shd w:val="clear" w:color="auto" w:fill="auto"/>
            <w:noWrap/>
            <w:vAlign w:val="bottom"/>
            <w:hideMark/>
          </w:tcPr>
          <w:p w:rsidR="00FE0200" w:rsidRPr="00114627" w:rsidRDefault="00FE0200" w:rsidP="003C352E">
            <w:pPr>
              <w:jc w:val="center"/>
              <w:rPr>
                <w:rFonts w:ascii="Times New Roman" w:eastAsia="Times New Roman" w:hAnsi="Times New Roman" w:cs="Times New Roman"/>
                <w:sz w:val="20"/>
                <w:szCs w:val="20"/>
                <w:lang w:eastAsia="en-US"/>
              </w:rPr>
            </w:pPr>
            <w:r w:rsidRPr="00114627">
              <w:rPr>
                <w:rFonts w:ascii="Times New Roman" w:eastAsia="Times New Roman" w:hAnsi="Times New Roman" w:cs="Times New Roman"/>
                <w:sz w:val="20"/>
                <w:szCs w:val="20"/>
              </w:rPr>
              <w:t>34.6</w:t>
            </w:r>
          </w:p>
        </w:tc>
      </w:tr>
      <w:tr w:rsidR="00FE0200" w:rsidRPr="00790A85" w:rsidTr="003C352E">
        <w:trPr>
          <w:gridAfter w:val="1"/>
          <w:wAfter w:w="355" w:type="dxa"/>
          <w:trHeight w:val="240"/>
        </w:trPr>
        <w:tc>
          <w:tcPr>
            <w:tcW w:w="3705" w:type="dxa"/>
            <w:tcBorders>
              <w:top w:val="nil"/>
              <w:left w:val="nil"/>
              <w:bottom w:val="nil"/>
              <w:right w:val="nil"/>
            </w:tcBorders>
            <w:shd w:val="clear" w:color="auto" w:fill="auto"/>
            <w:noWrap/>
            <w:vAlign w:val="bottom"/>
            <w:hideMark/>
          </w:tcPr>
          <w:p w:rsidR="00FE0200" w:rsidRPr="00790A85" w:rsidRDefault="00FE0200" w:rsidP="003C352E">
            <w:pPr>
              <w:rPr>
                <w:rFonts w:ascii="Times" w:eastAsia="Times New Roman" w:hAnsi="Times" w:cs="Times New Roman"/>
                <w:sz w:val="20"/>
                <w:szCs w:val="20"/>
                <w:lang w:eastAsia="en-US"/>
              </w:rPr>
            </w:pPr>
          </w:p>
        </w:tc>
        <w:tc>
          <w:tcPr>
            <w:tcW w:w="1720" w:type="dxa"/>
            <w:gridSpan w:val="2"/>
            <w:tcBorders>
              <w:top w:val="nil"/>
              <w:left w:val="nil"/>
              <w:bottom w:val="nil"/>
              <w:right w:val="nil"/>
            </w:tcBorders>
            <w:shd w:val="clear" w:color="auto" w:fill="auto"/>
            <w:noWrap/>
            <w:vAlign w:val="bottom"/>
            <w:hideMark/>
          </w:tcPr>
          <w:p w:rsidR="00FE0200" w:rsidRPr="00E752C9" w:rsidRDefault="00FE0200" w:rsidP="003C352E">
            <w:pPr>
              <w:jc w:val="center"/>
              <w:rPr>
                <w:rFonts w:ascii="Times New Roman" w:eastAsia="Times New Roman" w:hAnsi="Times New Roman" w:cs="Times New Roman"/>
                <w:sz w:val="20"/>
                <w:szCs w:val="20"/>
                <w:lang w:eastAsia="en-US"/>
              </w:rPr>
            </w:pPr>
          </w:p>
        </w:tc>
        <w:tc>
          <w:tcPr>
            <w:tcW w:w="1740" w:type="dxa"/>
            <w:gridSpan w:val="2"/>
            <w:tcBorders>
              <w:top w:val="nil"/>
              <w:left w:val="nil"/>
              <w:bottom w:val="nil"/>
              <w:right w:val="nil"/>
            </w:tcBorders>
            <w:shd w:val="clear" w:color="auto" w:fill="auto"/>
            <w:noWrap/>
            <w:vAlign w:val="bottom"/>
            <w:hideMark/>
          </w:tcPr>
          <w:p w:rsidR="00FE0200" w:rsidRPr="00E752C9" w:rsidRDefault="00FE0200" w:rsidP="003C352E">
            <w:pPr>
              <w:jc w:val="center"/>
              <w:rPr>
                <w:rFonts w:ascii="Times New Roman" w:eastAsia="Times New Roman" w:hAnsi="Times New Roman" w:cs="Times New Roman"/>
                <w:sz w:val="20"/>
                <w:szCs w:val="20"/>
                <w:lang w:eastAsia="en-US"/>
              </w:rPr>
            </w:pPr>
          </w:p>
        </w:tc>
        <w:tc>
          <w:tcPr>
            <w:tcW w:w="1780" w:type="dxa"/>
            <w:gridSpan w:val="2"/>
            <w:tcBorders>
              <w:top w:val="nil"/>
              <w:left w:val="nil"/>
              <w:bottom w:val="nil"/>
              <w:right w:val="nil"/>
            </w:tcBorders>
            <w:shd w:val="clear" w:color="auto" w:fill="auto"/>
            <w:noWrap/>
            <w:vAlign w:val="bottom"/>
            <w:hideMark/>
          </w:tcPr>
          <w:p w:rsidR="00FE0200" w:rsidRPr="00E752C9" w:rsidRDefault="00FE0200" w:rsidP="003C352E">
            <w:pPr>
              <w:jc w:val="center"/>
              <w:rPr>
                <w:rFonts w:ascii="Times New Roman" w:eastAsia="Times New Roman" w:hAnsi="Times New Roman" w:cs="Times New Roman"/>
                <w:sz w:val="20"/>
                <w:szCs w:val="20"/>
                <w:lang w:eastAsia="en-US"/>
              </w:rPr>
            </w:pPr>
          </w:p>
        </w:tc>
      </w:tr>
      <w:tr w:rsidR="00FE0200" w:rsidRPr="00790A85" w:rsidTr="003C352E">
        <w:trPr>
          <w:gridAfter w:val="1"/>
          <w:wAfter w:w="355" w:type="dxa"/>
          <w:trHeight w:val="240"/>
        </w:trPr>
        <w:tc>
          <w:tcPr>
            <w:tcW w:w="3705" w:type="dxa"/>
            <w:tcBorders>
              <w:top w:val="nil"/>
              <w:left w:val="nil"/>
              <w:bottom w:val="nil"/>
              <w:right w:val="nil"/>
            </w:tcBorders>
            <w:shd w:val="clear" w:color="auto" w:fill="auto"/>
            <w:noWrap/>
            <w:vAlign w:val="bottom"/>
            <w:hideMark/>
          </w:tcPr>
          <w:p w:rsidR="00FE0200" w:rsidRPr="007B7E3F" w:rsidRDefault="00FE0200" w:rsidP="003C352E">
            <w:pPr>
              <w:rPr>
                <w:rFonts w:ascii="Times" w:eastAsia="Times New Roman" w:hAnsi="Times" w:cs="Times New Roman"/>
                <w:b/>
                <w:sz w:val="20"/>
                <w:szCs w:val="20"/>
                <w:lang w:eastAsia="en-US"/>
              </w:rPr>
            </w:pPr>
            <w:r w:rsidRPr="007B7E3F">
              <w:rPr>
                <w:rFonts w:ascii="Times" w:eastAsia="Times New Roman" w:hAnsi="Times" w:cs="Times New Roman"/>
                <w:b/>
                <w:sz w:val="20"/>
                <w:szCs w:val="20"/>
                <w:lang w:eastAsia="en-US"/>
              </w:rPr>
              <w:t>1 std error low tissue/blood partit</w:t>
            </w:r>
            <w:r>
              <w:rPr>
                <w:rFonts w:ascii="Times" w:eastAsia="Times New Roman" w:hAnsi="Times" w:cs="Times New Roman"/>
                <w:b/>
                <w:sz w:val="20"/>
                <w:szCs w:val="20"/>
                <w:lang w:eastAsia="en-US"/>
              </w:rPr>
              <w:t>i</w:t>
            </w:r>
            <w:r w:rsidRPr="007B7E3F">
              <w:rPr>
                <w:rFonts w:ascii="Times" w:eastAsia="Times New Roman" w:hAnsi="Times" w:cs="Times New Roman"/>
                <w:b/>
                <w:sz w:val="20"/>
                <w:szCs w:val="20"/>
                <w:lang w:eastAsia="en-US"/>
              </w:rPr>
              <w:t>on coefficients</w:t>
            </w:r>
          </w:p>
        </w:tc>
        <w:tc>
          <w:tcPr>
            <w:tcW w:w="1720" w:type="dxa"/>
            <w:gridSpan w:val="2"/>
            <w:tcBorders>
              <w:top w:val="nil"/>
              <w:left w:val="nil"/>
              <w:bottom w:val="nil"/>
              <w:right w:val="nil"/>
            </w:tcBorders>
            <w:shd w:val="clear" w:color="auto" w:fill="auto"/>
            <w:noWrap/>
            <w:vAlign w:val="bottom"/>
            <w:hideMark/>
          </w:tcPr>
          <w:p w:rsidR="00FE0200" w:rsidRPr="00E752C9" w:rsidRDefault="00FE0200" w:rsidP="003C352E">
            <w:pPr>
              <w:jc w:val="center"/>
              <w:rPr>
                <w:rFonts w:ascii="Times New Roman" w:eastAsia="Times New Roman" w:hAnsi="Times New Roman" w:cs="Times New Roman"/>
                <w:sz w:val="20"/>
                <w:szCs w:val="20"/>
                <w:lang w:eastAsia="en-US"/>
              </w:rPr>
            </w:pPr>
          </w:p>
        </w:tc>
        <w:tc>
          <w:tcPr>
            <w:tcW w:w="1740" w:type="dxa"/>
            <w:gridSpan w:val="2"/>
            <w:tcBorders>
              <w:top w:val="nil"/>
              <w:left w:val="nil"/>
              <w:bottom w:val="nil"/>
              <w:right w:val="nil"/>
            </w:tcBorders>
            <w:shd w:val="clear" w:color="auto" w:fill="auto"/>
            <w:noWrap/>
            <w:vAlign w:val="bottom"/>
            <w:hideMark/>
          </w:tcPr>
          <w:p w:rsidR="00FE0200" w:rsidRPr="00E752C9" w:rsidRDefault="00FE0200" w:rsidP="003C352E">
            <w:pPr>
              <w:jc w:val="center"/>
              <w:rPr>
                <w:rFonts w:ascii="Times New Roman" w:eastAsia="Times New Roman" w:hAnsi="Times New Roman" w:cs="Times New Roman"/>
                <w:sz w:val="20"/>
                <w:szCs w:val="20"/>
                <w:lang w:eastAsia="en-US"/>
              </w:rPr>
            </w:pPr>
          </w:p>
        </w:tc>
        <w:tc>
          <w:tcPr>
            <w:tcW w:w="1780" w:type="dxa"/>
            <w:gridSpan w:val="2"/>
            <w:tcBorders>
              <w:top w:val="nil"/>
              <w:left w:val="nil"/>
              <w:bottom w:val="nil"/>
              <w:right w:val="nil"/>
            </w:tcBorders>
            <w:shd w:val="clear" w:color="auto" w:fill="auto"/>
            <w:noWrap/>
            <w:vAlign w:val="bottom"/>
            <w:hideMark/>
          </w:tcPr>
          <w:p w:rsidR="00FE0200" w:rsidRPr="00E752C9" w:rsidRDefault="00FE0200" w:rsidP="003C352E">
            <w:pPr>
              <w:jc w:val="center"/>
              <w:rPr>
                <w:rFonts w:ascii="Times New Roman" w:eastAsia="Times New Roman" w:hAnsi="Times New Roman" w:cs="Times New Roman"/>
                <w:sz w:val="20"/>
                <w:szCs w:val="20"/>
                <w:lang w:eastAsia="en-US"/>
              </w:rPr>
            </w:pPr>
          </w:p>
        </w:tc>
      </w:tr>
      <w:tr w:rsidR="00FE0200" w:rsidRPr="00790A85" w:rsidTr="003C352E">
        <w:trPr>
          <w:gridAfter w:val="1"/>
          <w:wAfter w:w="355" w:type="dxa"/>
          <w:trHeight w:val="240"/>
        </w:trPr>
        <w:tc>
          <w:tcPr>
            <w:tcW w:w="3705" w:type="dxa"/>
            <w:tcBorders>
              <w:top w:val="nil"/>
              <w:left w:val="nil"/>
              <w:bottom w:val="nil"/>
              <w:right w:val="nil"/>
            </w:tcBorders>
            <w:shd w:val="clear" w:color="auto" w:fill="auto"/>
            <w:noWrap/>
            <w:vAlign w:val="bottom"/>
            <w:hideMark/>
          </w:tcPr>
          <w:p w:rsidR="00FE0200" w:rsidRPr="00790A85" w:rsidRDefault="00B438F0" w:rsidP="003C352E">
            <w:pPr>
              <w:rPr>
                <w:rFonts w:ascii="Times" w:eastAsia="Times New Roman" w:hAnsi="Times" w:cs="Times New Roman"/>
                <w:sz w:val="20"/>
                <w:szCs w:val="20"/>
                <w:lang w:eastAsia="en-US"/>
              </w:rPr>
            </w:pPr>
            <w:r w:rsidRPr="00790A85">
              <w:rPr>
                <w:rFonts w:ascii="Times" w:eastAsia="Times New Roman" w:hAnsi="Times" w:cs="Times New Roman"/>
                <w:sz w:val="20"/>
                <w:szCs w:val="20"/>
                <w:lang w:eastAsia="en-US"/>
              </w:rPr>
              <w:t>I</w:t>
            </w:r>
            <w:r w:rsidR="00FE0200" w:rsidRPr="00790A85">
              <w:rPr>
                <w:rFonts w:ascii="Times" w:eastAsia="Times New Roman" w:hAnsi="Times" w:cs="Times New Roman"/>
                <w:sz w:val="20"/>
                <w:szCs w:val="20"/>
                <w:lang w:eastAsia="en-US"/>
              </w:rPr>
              <w:t>ngestion</w:t>
            </w:r>
          </w:p>
        </w:tc>
        <w:tc>
          <w:tcPr>
            <w:tcW w:w="1720" w:type="dxa"/>
            <w:gridSpan w:val="2"/>
            <w:tcBorders>
              <w:top w:val="nil"/>
              <w:left w:val="nil"/>
              <w:bottom w:val="nil"/>
              <w:right w:val="nil"/>
            </w:tcBorders>
            <w:shd w:val="clear" w:color="auto" w:fill="auto"/>
            <w:noWrap/>
            <w:vAlign w:val="bottom"/>
            <w:hideMark/>
          </w:tcPr>
          <w:p w:rsidR="00FE0200" w:rsidRPr="00114627" w:rsidRDefault="00FE0200" w:rsidP="003C352E">
            <w:pPr>
              <w:jc w:val="center"/>
              <w:rPr>
                <w:rFonts w:ascii="Times New Roman" w:eastAsia="Times New Roman" w:hAnsi="Times New Roman" w:cs="Times New Roman"/>
                <w:sz w:val="20"/>
                <w:szCs w:val="20"/>
                <w:lang w:eastAsia="en-US"/>
              </w:rPr>
            </w:pPr>
            <w:r w:rsidRPr="00114627">
              <w:rPr>
                <w:rFonts w:ascii="Times New Roman" w:eastAsia="Times New Roman" w:hAnsi="Times New Roman" w:cs="Times New Roman"/>
                <w:sz w:val="20"/>
                <w:szCs w:val="20"/>
              </w:rPr>
              <w:t>423</w:t>
            </w:r>
          </w:p>
        </w:tc>
        <w:tc>
          <w:tcPr>
            <w:tcW w:w="1740" w:type="dxa"/>
            <w:gridSpan w:val="2"/>
            <w:tcBorders>
              <w:top w:val="nil"/>
              <w:left w:val="nil"/>
              <w:bottom w:val="nil"/>
              <w:right w:val="nil"/>
            </w:tcBorders>
            <w:shd w:val="clear" w:color="auto" w:fill="auto"/>
            <w:noWrap/>
            <w:vAlign w:val="bottom"/>
            <w:hideMark/>
          </w:tcPr>
          <w:p w:rsidR="00FE0200" w:rsidRPr="00114627" w:rsidRDefault="00FE0200" w:rsidP="003C352E">
            <w:pPr>
              <w:jc w:val="center"/>
              <w:rPr>
                <w:rFonts w:ascii="Times New Roman" w:eastAsia="Times New Roman" w:hAnsi="Times New Roman" w:cs="Times New Roman"/>
                <w:sz w:val="20"/>
                <w:szCs w:val="20"/>
                <w:lang w:eastAsia="en-US"/>
              </w:rPr>
            </w:pPr>
            <w:r w:rsidRPr="00114627">
              <w:rPr>
                <w:rFonts w:ascii="Times New Roman" w:eastAsia="Times New Roman" w:hAnsi="Times New Roman" w:cs="Times New Roman"/>
                <w:sz w:val="20"/>
                <w:szCs w:val="20"/>
              </w:rPr>
              <w:t>185</w:t>
            </w:r>
          </w:p>
        </w:tc>
        <w:tc>
          <w:tcPr>
            <w:tcW w:w="1780" w:type="dxa"/>
            <w:gridSpan w:val="2"/>
            <w:tcBorders>
              <w:top w:val="nil"/>
              <w:left w:val="nil"/>
              <w:bottom w:val="nil"/>
              <w:right w:val="nil"/>
            </w:tcBorders>
            <w:shd w:val="clear" w:color="auto" w:fill="auto"/>
            <w:noWrap/>
            <w:vAlign w:val="bottom"/>
            <w:hideMark/>
          </w:tcPr>
          <w:p w:rsidR="00FE0200" w:rsidRPr="00114627" w:rsidRDefault="00FE0200" w:rsidP="003C352E">
            <w:pPr>
              <w:jc w:val="center"/>
              <w:rPr>
                <w:rFonts w:ascii="Times New Roman" w:eastAsia="Times New Roman" w:hAnsi="Times New Roman" w:cs="Times New Roman"/>
                <w:sz w:val="20"/>
                <w:szCs w:val="20"/>
                <w:lang w:eastAsia="en-US"/>
              </w:rPr>
            </w:pPr>
            <w:r w:rsidRPr="00114627">
              <w:rPr>
                <w:rFonts w:ascii="Times New Roman" w:eastAsia="Times New Roman" w:hAnsi="Times New Roman" w:cs="Times New Roman"/>
                <w:sz w:val="20"/>
                <w:szCs w:val="20"/>
              </w:rPr>
              <w:t>968</w:t>
            </w:r>
          </w:p>
        </w:tc>
      </w:tr>
      <w:tr w:rsidR="00FE0200" w:rsidRPr="00790A85" w:rsidTr="003C352E">
        <w:trPr>
          <w:gridAfter w:val="1"/>
          <w:wAfter w:w="355" w:type="dxa"/>
          <w:trHeight w:val="240"/>
        </w:trPr>
        <w:tc>
          <w:tcPr>
            <w:tcW w:w="3705" w:type="dxa"/>
            <w:tcBorders>
              <w:top w:val="nil"/>
              <w:left w:val="nil"/>
              <w:bottom w:val="nil"/>
              <w:right w:val="nil"/>
            </w:tcBorders>
            <w:shd w:val="clear" w:color="auto" w:fill="auto"/>
            <w:noWrap/>
            <w:vAlign w:val="bottom"/>
            <w:hideMark/>
          </w:tcPr>
          <w:p w:rsidR="00FE0200" w:rsidRPr="00790A85" w:rsidRDefault="00B438F0" w:rsidP="003C352E">
            <w:pPr>
              <w:rPr>
                <w:rFonts w:ascii="Times" w:eastAsia="Times New Roman" w:hAnsi="Times" w:cs="Times New Roman"/>
                <w:sz w:val="20"/>
                <w:szCs w:val="20"/>
                <w:lang w:eastAsia="en-US"/>
              </w:rPr>
            </w:pPr>
            <w:r w:rsidRPr="00790A85">
              <w:rPr>
                <w:rFonts w:ascii="Times" w:eastAsia="Times New Roman" w:hAnsi="Times" w:cs="Times New Roman"/>
                <w:sz w:val="20"/>
                <w:szCs w:val="20"/>
                <w:lang w:eastAsia="en-US"/>
              </w:rPr>
              <w:t>I</w:t>
            </w:r>
            <w:r w:rsidR="00FE0200" w:rsidRPr="00790A85">
              <w:rPr>
                <w:rFonts w:ascii="Times" w:eastAsia="Times New Roman" w:hAnsi="Times" w:cs="Times New Roman"/>
                <w:sz w:val="20"/>
                <w:szCs w:val="20"/>
                <w:lang w:eastAsia="en-US"/>
              </w:rPr>
              <w:t>nhalation</w:t>
            </w:r>
          </w:p>
        </w:tc>
        <w:tc>
          <w:tcPr>
            <w:tcW w:w="1720" w:type="dxa"/>
            <w:gridSpan w:val="2"/>
            <w:tcBorders>
              <w:top w:val="nil"/>
              <w:left w:val="nil"/>
              <w:bottom w:val="nil"/>
              <w:right w:val="nil"/>
            </w:tcBorders>
            <w:shd w:val="clear" w:color="auto" w:fill="auto"/>
            <w:noWrap/>
            <w:vAlign w:val="bottom"/>
            <w:hideMark/>
          </w:tcPr>
          <w:p w:rsidR="00FE0200" w:rsidRPr="00114627" w:rsidRDefault="00FE0200" w:rsidP="003C352E">
            <w:pPr>
              <w:jc w:val="center"/>
              <w:rPr>
                <w:rFonts w:ascii="Times New Roman" w:eastAsia="Times New Roman" w:hAnsi="Times New Roman" w:cs="Times New Roman"/>
                <w:sz w:val="20"/>
                <w:szCs w:val="20"/>
                <w:lang w:eastAsia="en-US"/>
              </w:rPr>
            </w:pPr>
            <w:r w:rsidRPr="00114627">
              <w:rPr>
                <w:rFonts w:ascii="Times New Roman" w:eastAsia="Times New Roman" w:hAnsi="Times New Roman" w:cs="Times New Roman"/>
                <w:sz w:val="20"/>
                <w:szCs w:val="20"/>
              </w:rPr>
              <w:t>30.1</w:t>
            </w:r>
          </w:p>
        </w:tc>
        <w:tc>
          <w:tcPr>
            <w:tcW w:w="1740" w:type="dxa"/>
            <w:gridSpan w:val="2"/>
            <w:tcBorders>
              <w:top w:val="nil"/>
              <w:left w:val="nil"/>
              <w:bottom w:val="nil"/>
              <w:right w:val="nil"/>
            </w:tcBorders>
            <w:shd w:val="clear" w:color="auto" w:fill="auto"/>
            <w:noWrap/>
            <w:vAlign w:val="bottom"/>
            <w:hideMark/>
          </w:tcPr>
          <w:p w:rsidR="00FE0200" w:rsidRPr="00114627" w:rsidRDefault="00FE0200" w:rsidP="003C352E">
            <w:pPr>
              <w:jc w:val="center"/>
              <w:rPr>
                <w:rFonts w:ascii="Times New Roman" w:eastAsia="Times New Roman" w:hAnsi="Times New Roman" w:cs="Times New Roman"/>
                <w:sz w:val="20"/>
                <w:szCs w:val="20"/>
                <w:lang w:eastAsia="en-US"/>
              </w:rPr>
            </w:pPr>
            <w:r w:rsidRPr="00114627">
              <w:rPr>
                <w:rFonts w:ascii="Times New Roman" w:eastAsia="Times New Roman" w:hAnsi="Times New Roman" w:cs="Times New Roman"/>
                <w:sz w:val="20"/>
                <w:szCs w:val="20"/>
              </w:rPr>
              <w:t>27.6</w:t>
            </w:r>
          </w:p>
        </w:tc>
        <w:tc>
          <w:tcPr>
            <w:tcW w:w="1780" w:type="dxa"/>
            <w:gridSpan w:val="2"/>
            <w:tcBorders>
              <w:top w:val="nil"/>
              <w:left w:val="nil"/>
              <w:bottom w:val="nil"/>
              <w:right w:val="nil"/>
            </w:tcBorders>
            <w:shd w:val="clear" w:color="auto" w:fill="auto"/>
            <w:noWrap/>
            <w:vAlign w:val="bottom"/>
            <w:hideMark/>
          </w:tcPr>
          <w:p w:rsidR="00FE0200" w:rsidRPr="00114627" w:rsidRDefault="00FE0200" w:rsidP="003C352E">
            <w:pPr>
              <w:jc w:val="center"/>
              <w:rPr>
                <w:rFonts w:ascii="Times New Roman" w:eastAsia="Times New Roman" w:hAnsi="Times New Roman" w:cs="Times New Roman"/>
                <w:sz w:val="20"/>
                <w:szCs w:val="20"/>
                <w:lang w:eastAsia="en-US"/>
              </w:rPr>
            </w:pPr>
            <w:r w:rsidRPr="00114627">
              <w:rPr>
                <w:rFonts w:ascii="Times New Roman" w:eastAsia="Times New Roman" w:hAnsi="Times New Roman" w:cs="Times New Roman"/>
                <w:sz w:val="20"/>
                <w:szCs w:val="20"/>
              </w:rPr>
              <w:t>31.3</w:t>
            </w:r>
          </w:p>
        </w:tc>
      </w:tr>
      <w:tr w:rsidR="00FE0200" w:rsidRPr="00790A85" w:rsidTr="003C352E">
        <w:trPr>
          <w:gridAfter w:val="1"/>
          <w:wAfter w:w="355" w:type="dxa"/>
          <w:trHeight w:val="240"/>
        </w:trPr>
        <w:tc>
          <w:tcPr>
            <w:tcW w:w="3705" w:type="dxa"/>
            <w:tcBorders>
              <w:top w:val="nil"/>
              <w:left w:val="nil"/>
              <w:bottom w:val="nil"/>
              <w:right w:val="nil"/>
            </w:tcBorders>
            <w:shd w:val="clear" w:color="auto" w:fill="auto"/>
            <w:noWrap/>
            <w:vAlign w:val="bottom"/>
            <w:hideMark/>
          </w:tcPr>
          <w:p w:rsidR="00FE0200" w:rsidRPr="00790A85" w:rsidRDefault="00FE0200" w:rsidP="003C352E">
            <w:pPr>
              <w:rPr>
                <w:rFonts w:ascii="Times" w:eastAsia="Times New Roman" w:hAnsi="Times" w:cs="Times New Roman"/>
                <w:sz w:val="20"/>
                <w:szCs w:val="20"/>
                <w:lang w:eastAsia="en-US"/>
              </w:rPr>
            </w:pPr>
            <w:r w:rsidRPr="00790A85">
              <w:rPr>
                <w:rFonts w:ascii="Times" w:eastAsia="Times New Roman" w:hAnsi="Times" w:cs="Times New Roman"/>
                <w:sz w:val="20"/>
                <w:szCs w:val="20"/>
                <w:lang w:eastAsia="en-US"/>
              </w:rPr>
              <w:t>ingestion/inhalation ratio</w:t>
            </w:r>
          </w:p>
        </w:tc>
        <w:tc>
          <w:tcPr>
            <w:tcW w:w="1720" w:type="dxa"/>
            <w:gridSpan w:val="2"/>
            <w:tcBorders>
              <w:top w:val="nil"/>
              <w:left w:val="nil"/>
              <w:bottom w:val="nil"/>
              <w:right w:val="nil"/>
            </w:tcBorders>
            <w:shd w:val="clear" w:color="auto" w:fill="auto"/>
            <w:noWrap/>
            <w:vAlign w:val="bottom"/>
            <w:hideMark/>
          </w:tcPr>
          <w:p w:rsidR="00FE0200" w:rsidRPr="00114627" w:rsidRDefault="00FE0200" w:rsidP="003C352E">
            <w:pPr>
              <w:jc w:val="center"/>
              <w:rPr>
                <w:rFonts w:ascii="Times New Roman" w:eastAsia="Times New Roman" w:hAnsi="Times New Roman" w:cs="Times New Roman"/>
                <w:sz w:val="20"/>
                <w:szCs w:val="20"/>
                <w:lang w:eastAsia="en-US"/>
              </w:rPr>
            </w:pPr>
            <w:r w:rsidRPr="00114627">
              <w:rPr>
                <w:rFonts w:ascii="Times New Roman" w:eastAsia="Times New Roman" w:hAnsi="Times New Roman" w:cs="Times New Roman"/>
                <w:sz w:val="20"/>
                <w:szCs w:val="20"/>
              </w:rPr>
              <w:t>14.1</w:t>
            </w:r>
          </w:p>
        </w:tc>
        <w:tc>
          <w:tcPr>
            <w:tcW w:w="1740" w:type="dxa"/>
            <w:gridSpan w:val="2"/>
            <w:tcBorders>
              <w:top w:val="nil"/>
              <w:left w:val="nil"/>
              <w:bottom w:val="nil"/>
              <w:right w:val="nil"/>
            </w:tcBorders>
            <w:shd w:val="clear" w:color="auto" w:fill="auto"/>
            <w:noWrap/>
            <w:vAlign w:val="bottom"/>
            <w:hideMark/>
          </w:tcPr>
          <w:p w:rsidR="00FE0200" w:rsidRPr="00114627" w:rsidRDefault="00FE0200" w:rsidP="003C352E">
            <w:pPr>
              <w:jc w:val="center"/>
              <w:rPr>
                <w:rFonts w:ascii="Times New Roman" w:eastAsia="Times New Roman" w:hAnsi="Times New Roman" w:cs="Times New Roman"/>
                <w:sz w:val="20"/>
                <w:szCs w:val="20"/>
                <w:lang w:eastAsia="en-US"/>
              </w:rPr>
            </w:pPr>
            <w:r w:rsidRPr="00114627">
              <w:rPr>
                <w:rFonts w:ascii="Times New Roman" w:eastAsia="Times New Roman" w:hAnsi="Times New Roman" w:cs="Times New Roman"/>
                <w:sz w:val="20"/>
                <w:szCs w:val="20"/>
              </w:rPr>
              <w:t>6.7</w:t>
            </w:r>
          </w:p>
        </w:tc>
        <w:tc>
          <w:tcPr>
            <w:tcW w:w="1780" w:type="dxa"/>
            <w:gridSpan w:val="2"/>
            <w:tcBorders>
              <w:top w:val="nil"/>
              <w:left w:val="nil"/>
              <w:bottom w:val="nil"/>
              <w:right w:val="nil"/>
            </w:tcBorders>
            <w:shd w:val="clear" w:color="auto" w:fill="auto"/>
            <w:noWrap/>
            <w:vAlign w:val="bottom"/>
            <w:hideMark/>
          </w:tcPr>
          <w:p w:rsidR="00FE0200" w:rsidRPr="00114627" w:rsidRDefault="00FE0200" w:rsidP="003C352E">
            <w:pPr>
              <w:jc w:val="center"/>
              <w:rPr>
                <w:rFonts w:ascii="Times New Roman" w:eastAsia="Times New Roman" w:hAnsi="Times New Roman" w:cs="Times New Roman"/>
                <w:sz w:val="20"/>
                <w:szCs w:val="20"/>
                <w:lang w:eastAsia="en-US"/>
              </w:rPr>
            </w:pPr>
            <w:r w:rsidRPr="00114627">
              <w:rPr>
                <w:rFonts w:ascii="Times New Roman" w:eastAsia="Times New Roman" w:hAnsi="Times New Roman" w:cs="Times New Roman"/>
                <w:sz w:val="20"/>
                <w:szCs w:val="20"/>
              </w:rPr>
              <w:t>30.9</w:t>
            </w:r>
          </w:p>
        </w:tc>
      </w:tr>
      <w:tr w:rsidR="00FE0200" w:rsidRPr="00790A85" w:rsidTr="003C352E">
        <w:trPr>
          <w:gridAfter w:val="1"/>
          <w:wAfter w:w="355" w:type="dxa"/>
          <w:trHeight w:val="240"/>
        </w:trPr>
        <w:tc>
          <w:tcPr>
            <w:tcW w:w="3705" w:type="dxa"/>
            <w:tcBorders>
              <w:top w:val="nil"/>
              <w:left w:val="nil"/>
              <w:bottom w:val="nil"/>
              <w:right w:val="nil"/>
            </w:tcBorders>
            <w:shd w:val="clear" w:color="auto" w:fill="auto"/>
            <w:noWrap/>
            <w:vAlign w:val="bottom"/>
            <w:hideMark/>
          </w:tcPr>
          <w:p w:rsidR="00FE0200" w:rsidRPr="00790A85" w:rsidRDefault="00FE0200" w:rsidP="003C352E">
            <w:pPr>
              <w:rPr>
                <w:rFonts w:ascii="Times" w:eastAsia="Times New Roman" w:hAnsi="Times" w:cs="Times New Roman"/>
                <w:sz w:val="20"/>
                <w:szCs w:val="20"/>
                <w:lang w:eastAsia="en-US"/>
              </w:rPr>
            </w:pPr>
          </w:p>
        </w:tc>
        <w:tc>
          <w:tcPr>
            <w:tcW w:w="1720" w:type="dxa"/>
            <w:gridSpan w:val="2"/>
            <w:tcBorders>
              <w:top w:val="nil"/>
              <w:left w:val="nil"/>
              <w:bottom w:val="nil"/>
              <w:right w:val="nil"/>
            </w:tcBorders>
            <w:shd w:val="clear" w:color="auto" w:fill="auto"/>
            <w:noWrap/>
            <w:vAlign w:val="bottom"/>
            <w:hideMark/>
          </w:tcPr>
          <w:p w:rsidR="00FE0200" w:rsidRPr="00E752C9" w:rsidRDefault="00FE0200" w:rsidP="003C352E">
            <w:pPr>
              <w:jc w:val="center"/>
              <w:rPr>
                <w:rFonts w:ascii="Times New Roman" w:eastAsia="Times New Roman" w:hAnsi="Times New Roman" w:cs="Times New Roman"/>
                <w:sz w:val="20"/>
                <w:szCs w:val="20"/>
                <w:lang w:eastAsia="en-US"/>
              </w:rPr>
            </w:pPr>
          </w:p>
        </w:tc>
        <w:tc>
          <w:tcPr>
            <w:tcW w:w="1740" w:type="dxa"/>
            <w:gridSpan w:val="2"/>
            <w:tcBorders>
              <w:top w:val="nil"/>
              <w:left w:val="nil"/>
              <w:bottom w:val="nil"/>
              <w:right w:val="nil"/>
            </w:tcBorders>
            <w:shd w:val="clear" w:color="auto" w:fill="auto"/>
            <w:noWrap/>
            <w:vAlign w:val="bottom"/>
            <w:hideMark/>
          </w:tcPr>
          <w:p w:rsidR="00FE0200" w:rsidRPr="00E752C9" w:rsidRDefault="00FE0200" w:rsidP="003C352E">
            <w:pPr>
              <w:jc w:val="center"/>
              <w:rPr>
                <w:rFonts w:ascii="Times New Roman" w:eastAsia="Times New Roman" w:hAnsi="Times New Roman" w:cs="Times New Roman"/>
                <w:sz w:val="20"/>
                <w:szCs w:val="20"/>
                <w:lang w:eastAsia="en-US"/>
              </w:rPr>
            </w:pPr>
          </w:p>
        </w:tc>
        <w:tc>
          <w:tcPr>
            <w:tcW w:w="1780" w:type="dxa"/>
            <w:gridSpan w:val="2"/>
            <w:tcBorders>
              <w:top w:val="nil"/>
              <w:left w:val="nil"/>
              <w:bottom w:val="nil"/>
              <w:right w:val="nil"/>
            </w:tcBorders>
            <w:shd w:val="clear" w:color="auto" w:fill="auto"/>
            <w:noWrap/>
            <w:vAlign w:val="bottom"/>
            <w:hideMark/>
          </w:tcPr>
          <w:p w:rsidR="00FE0200" w:rsidRPr="00E752C9" w:rsidRDefault="00FE0200" w:rsidP="003C352E">
            <w:pPr>
              <w:jc w:val="center"/>
              <w:rPr>
                <w:rFonts w:ascii="Times New Roman" w:eastAsia="Times New Roman" w:hAnsi="Times New Roman" w:cs="Times New Roman"/>
                <w:sz w:val="20"/>
                <w:szCs w:val="20"/>
                <w:lang w:eastAsia="en-US"/>
              </w:rPr>
            </w:pPr>
          </w:p>
        </w:tc>
      </w:tr>
      <w:tr w:rsidR="00FE0200" w:rsidRPr="00790A85" w:rsidTr="003C352E">
        <w:trPr>
          <w:gridAfter w:val="1"/>
          <w:wAfter w:w="355" w:type="dxa"/>
          <w:trHeight w:val="240"/>
        </w:trPr>
        <w:tc>
          <w:tcPr>
            <w:tcW w:w="3705" w:type="dxa"/>
            <w:tcBorders>
              <w:top w:val="nil"/>
              <w:left w:val="nil"/>
              <w:bottom w:val="nil"/>
              <w:right w:val="nil"/>
            </w:tcBorders>
            <w:shd w:val="clear" w:color="auto" w:fill="auto"/>
            <w:noWrap/>
            <w:vAlign w:val="bottom"/>
            <w:hideMark/>
          </w:tcPr>
          <w:p w:rsidR="00FE0200" w:rsidRPr="007B7E3F" w:rsidRDefault="00FE0200" w:rsidP="003C352E">
            <w:pPr>
              <w:rPr>
                <w:rFonts w:ascii="Times" w:eastAsia="Times New Roman" w:hAnsi="Times" w:cs="Times New Roman"/>
                <w:b/>
                <w:sz w:val="20"/>
                <w:szCs w:val="20"/>
                <w:lang w:eastAsia="en-US"/>
              </w:rPr>
            </w:pPr>
            <w:r w:rsidRPr="007B7E3F">
              <w:rPr>
                <w:rFonts w:ascii="Times" w:eastAsia="Times New Roman" w:hAnsi="Times" w:cs="Times New Roman"/>
                <w:b/>
                <w:sz w:val="20"/>
                <w:szCs w:val="20"/>
                <w:lang w:eastAsia="en-US"/>
              </w:rPr>
              <w:t>1 std error high tissue/blood partition coefficients</w:t>
            </w:r>
          </w:p>
        </w:tc>
        <w:tc>
          <w:tcPr>
            <w:tcW w:w="1720" w:type="dxa"/>
            <w:gridSpan w:val="2"/>
            <w:tcBorders>
              <w:top w:val="nil"/>
              <w:left w:val="nil"/>
              <w:bottom w:val="nil"/>
              <w:right w:val="nil"/>
            </w:tcBorders>
            <w:shd w:val="clear" w:color="auto" w:fill="auto"/>
            <w:noWrap/>
            <w:vAlign w:val="bottom"/>
            <w:hideMark/>
          </w:tcPr>
          <w:p w:rsidR="00FE0200" w:rsidRPr="00E752C9" w:rsidRDefault="00FE0200" w:rsidP="003C352E">
            <w:pPr>
              <w:jc w:val="center"/>
              <w:rPr>
                <w:rFonts w:ascii="Times New Roman" w:eastAsia="Times New Roman" w:hAnsi="Times New Roman" w:cs="Times New Roman"/>
                <w:sz w:val="20"/>
                <w:szCs w:val="20"/>
                <w:lang w:eastAsia="en-US"/>
              </w:rPr>
            </w:pPr>
          </w:p>
        </w:tc>
        <w:tc>
          <w:tcPr>
            <w:tcW w:w="1740" w:type="dxa"/>
            <w:gridSpan w:val="2"/>
            <w:tcBorders>
              <w:top w:val="nil"/>
              <w:left w:val="nil"/>
              <w:bottom w:val="nil"/>
              <w:right w:val="nil"/>
            </w:tcBorders>
            <w:shd w:val="clear" w:color="auto" w:fill="auto"/>
            <w:noWrap/>
            <w:vAlign w:val="bottom"/>
            <w:hideMark/>
          </w:tcPr>
          <w:p w:rsidR="00FE0200" w:rsidRPr="00E752C9" w:rsidRDefault="00FE0200" w:rsidP="003C352E">
            <w:pPr>
              <w:jc w:val="center"/>
              <w:rPr>
                <w:rFonts w:ascii="Times New Roman" w:eastAsia="Times New Roman" w:hAnsi="Times New Roman" w:cs="Times New Roman"/>
                <w:sz w:val="20"/>
                <w:szCs w:val="20"/>
                <w:lang w:eastAsia="en-US"/>
              </w:rPr>
            </w:pPr>
          </w:p>
        </w:tc>
        <w:tc>
          <w:tcPr>
            <w:tcW w:w="1780" w:type="dxa"/>
            <w:gridSpan w:val="2"/>
            <w:tcBorders>
              <w:top w:val="nil"/>
              <w:left w:val="nil"/>
              <w:bottom w:val="nil"/>
              <w:right w:val="nil"/>
            </w:tcBorders>
            <w:shd w:val="clear" w:color="auto" w:fill="auto"/>
            <w:noWrap/>
            <w:vAlign w:val="bottom"/>
            <w:hideMark/>
          </w:tcPr>
          <w:p w:rsidR="00FE0200" w:rsidRPr="00E752C9" w:rsidRDefault="00FE0200" w:rsidP="003C352E">
            <w:pPr>
              <w:jc w:val="center"/>
              <w:rPr>
                <w:rFonts w:ascii="Times New Roman" w:eastAsia="Times New Roman" w:hAnsi="Times New Roman" w:cs="Times New Roman"/>
                <w:sz w:val="20"/>
                <w:szCs w:val="20"/>
                <w:lang w:eastAsia="en-US"/>
              </w:rPr>
            </w:pPr>
          </w:p>
        </w:tc>
      </w:tr>
      <w:tr w:rsidR="00FE0200" w:rsidRPr="00790A85" w:rsidTr="003C352E">
        <w:trPr>
          <w:gridAfter w:val="1"/>
          <w:wAfter w:w="355" w:type="dxa"/>
          <w:trHeight w:val="240"/>
        </w:trPr>
        <w:tc>
          <w:tcPr>
            <w:tcW w:w="3705" w:type="dxa"/>
            <w:tcBorders>
              <w:top w:val="nil"/>
              <w:left w:val="nil"/>
              <w:bottom w:val="nil"/>
              <w:right w:val="nil"/>
            </w:tcBorders>
            <w:shd w:val="clear" w:color="auto" w:fill="auto"/>
            <w:noWrap/>
            <w:vAlign w:val="bottom"/>
            <w:hideMark/>
          </w:tcPr>
          <w:p w:rsidR="00FE0200" w:rsidRPr="00790A85" w:rsidRDefault="00B438F0" w:rsidP="003C352E">
            <w:pPr>
              <w:rPr>
                <w:rFonts w:ascii="Times" w:eastAsia="Times New Roman" w:hAnsi="Times" w:cs="Times New Roman"/>
                <w:sz w:val="20"/>
                <w:szCs w:val="20"/>
                <w:lang w:eastAsia="en-US"/>
              </w:rPr>
            </w:pPr>
            <w:r w:rsidRPr="00790A85">
              <w:rPr>
                <w:rFonts w:ascii="Times" w:eastAsia="Times New Roman" w:hAnsi="Times" w:cs="Times New Roman"/>
                <w:sz w:val="20"/>
                <w:szCs w:val="20"/>
                <w:lang w:eastAsia="en-US"/>
              </w:rPr>
              <w:t>I</w:t>
            </w:r>
            <w:r w:rsidR="00FE0200" w:rsidRPr="00790A85">
              <w:rPr>
                <w:rFonts w:ascii="Times" w:eastAsia="Times New Roman" w:hAnsi="Times" w:cs="Times New Roman"/>
                <w:sz w:val="20"/>
                <w:szCs w:val="20"/>
                <w:lang w:eastAsia="en-US"/>
              </w:rPr>
              <w:t>ngestion</w:t>
            </w:r>
          </w:p>
        </w:tc>
        <w:tc>
          <w:tcPr>
            <w:tcW w:w="1720" w:type="dxa"/>
            <w:gridSpan w:val="2"/>
            <w:tcBorders>
              <w:top w:val="nil"/>
              <w:left w:val="nil"/>
              <w:bottom w:val="nil"/>
              <w:right w:val="nil"/>
            </w:tcBorders>
            <w:shd w:val="clear" w:color="auto" w:fill="auto"/>
            <w:noWrap/>
            <w:vAlign w:val="bottom"/>
            <w:hideMark/>
          </w:tcPr>
          <w:p w:rsidR="00FE0200" w:rsidRPr="00114627" w:rsidRDefault="00FE0200" w:rsidP="003C352E">
            <w:pPr>
              <w:jc w:val="center"/>
              <w:rPr>
                <w:rFonts w:ascii="Times New Roman" w:eastAsia="Times New Roman" w:hAnsi="Times New Roman" w:cs="Times New Roman"/>
                <w:sz w:val="20"/>
                <w:szCs w:val="20"/>
                <w:lang w:eastAsia="en-US"/>
              </w:rPr>
            </w:pPr>
            <w:r w:rsidRPr="00114627">
              <w:rPr>
                <w:rFonts w:ascii="Times New Roman" w:eastAsia="Times New Roman" w:hAnsi="Times New Roman" w:cs="Times New Roman"/>
                <w:sz w:val="20"/>
                <w:szCs w:val="20"/>
              </w:rPr>
              <w:t>535</w:t>
            </w:r>
          </w:p>
        </w:tc>
        <w:tc>
          <w:tcPr>
            <w:tcW w:w="1740" w:type="dxa"/>
            <w:gridSpan w:val="2"/>
            <w:tcBorders>
              <w:top w:val="nil"/>
              <w:left w:val="nil"/>
              <w:bottom w:val="nil"/>
              <w:right w:val="nil"/>
            </w:tcBorders>
            <w:shd w:val="clear" w:color="auto" w:fill="auto"/>
            <w:noWrap/>
            <w:vAlign w:val="bottom"/>
            <w:hideMark/>
          </w:tcPr>
          <w:p w:rsidR="00FE0200" w:rsidRPr="00114627" w:rsidRDefault="00FE0200" w:rsidP="003C352E">
            <w:pPr>
              <w:jc w:val="center"/>
              <w:rPr>
                <w:rFonts w:ascii="Times New Roman" w:eastAsia="Times New Roman" w:hAnsi="Times New Roman" w:cs="Times New Roman"/>
                <w:sz w:val="20"/>
                <w:szCs w:val="20"/>
                <w:lang w:eastAsia="en-US"/>
              </w:rPr>
            </w:pPr>
            <w:r w:rsidRPr="00114627">
              <w:rPr>
                <w:rFonts w:ascii="Times New Roman" w:eastAsia="Times New Roman" w:hAnsi="Times New Roman" w:cs="Times New Roman"/>
                <w:sz w:val="20"/>
                <w:szCs w:val="20"/>
              </w:rPr>
              <w:t>234</w:t>
            </w:r>
          </w:p>
        </w:tc>
        <w:tc>
          <w:tcPr>
            <w:tcW w:w="1780" w:type="dxa"/>
            <w:gridSpan w:val="2"/>
            <w:tcBorders>
              <w:top w:val="nil"/>
              <w:left w:val="nil"/>
              <w:bottom w:val="nil"/>
              <w:right w:val="nil"/>
            </w:tcBorders>
            <w:shd w:val="clear" w:color="auto" w:fill="auto"/>
            <w:noWrap/>
            <w:vAlign w:val="bottom"/>
            <w:hideMark/>
          </w:tcPr>
          <w:p w:rsidR="00FE0200" w:rsidRPr="00114627" w:rsidRDefault="00FE0200" w:rsidP="003C352E">
            <w:pPr>
              <w:jc w:val="center"/>
              <w:rPr>
                <w:rFonts w:ascii="Times New Roman" w:eastAsia="Times New Roman" w:hAnsi="Times New Roman" w:cs="Times New Roman"/>
                <w:sz w:val="20"/>
                <w:szCs w:val="20"/>
                <w:lang w:eastAsia="en-US"/>
              </w:rPr>
            </w:pPr>
            <w:r w:rsidRPr="00114627">
              <w:rPr>
                <w:rFonts w:ascii="Times New Roman" w:eastAsia="Times New Roman" w:hAnsi="Times New Roman" w:cs="Times New Roman"/>
                <w:sz w:val="20"/>
                <w:szCs w:val="20"/>
              </w:rPr>
              <w:t>1224</w:t>
            </w:r>
          </w:p>
        </w:tc>
      </w:tr>
      <w:tr w:rsidR="00FE0200" w:rsidRPr="00790A85" w:rsidTr="003C352E">
        <w:trPr>
          <w:gridAfter w:val="1"/>
          <w:wAfter w:w="355" w:type="dxa"/>
          <w:trHeight w:val="240"/>
        </w:trPr>
        <w:tc>
          <w:tcPr>
            <w:tcW w:w="3705" w:type="dxa"/>
            <w:tcBorders>
              <w:top w:val="nil"/>
              <w:left w:val="nil"/>
              <w:bottom w:val="nil"/>
              <w:right w:val="nil"/>
            </w:tcBorders>
            <w:shd w:val="clear" w:color="auto" w:fill="auto"/>
            <w:noWrap/>
            <w:vAlign w:val="bottom"/>
            <w:hideMark/>
          </w:tcPr>
          <w:p w:rsidR="00FE0200" w:rsidRPr="00790A85" w:rsidRDefault="00B438F0" w:rsidP="003C352E">
            <w:pPr>
              <w:rPr>
                <w:rFonts w:ascii="Times" w:eastAsia="Times New Roman" w:hAnsi="Times" w:cs="Times New Roman"/>
                <w:sz w:val="20"/>
                <w:szCs w:val="20"/>
                <w:lang w:eastAsia="en-US"/>
              </w:rPr>
            </w:pPr>
            <w:r w:rsidRPr="00790A85">
              <w:rPr>
                <w:rFonts w:ascii="Times" w:eastAsia="Times New Roman" w:hAnsi="Times" w:cs="Times New Roman"/>
                <w:sz w:val="20"/>
                <w:szCs w:val="20"/>
                <w:lang w:eastAsia="en-US"/>
              </w:rPr>
              <w:t>I</w:t>
            </w:r>
            <w:r w:rsidR="00FE0200" w:rsidRPr="00790A85">
              <w:rPr>
                <w:rFonts w:ascii="Times" w:eastAsia="Times New Roman" w:hAnsi="Times" w:cs="Times New Roman"/>
                <w:sz w:val="20"/>
                <w:szCs w:val="20"/>
                <w:lang w:eastAsia="en-US"/>
              </w:rPr>
              <w:t>nhalation</w:t>
            </w:r>
          </w:p>
        </w:tc>
        <w:tc>
          <w:tcPr>
            <w:tcW w:w="1720" w:type="dxa"/>
            <w:gridSpan w:val="2"/>
            <w:tcBorders>
              <w:top w:val="nil"/>
              <w:left w:val="nil"/>
              <w:bottom w:val="nil"/>
              <w:right w:val="nil"/>
            </w:tcBorders>
            <w:shd w:val="clear" w:color="auto" w:fill="auto"/>
            <w:noWrap/>
            <w:vAlign w:val="bottom"/>
            <w:hideMark/>
          </w:tcPr>
          <w:p w:rsidR="00FE0200" w:rsidRPr="00114627" w:rsidRDefault="00FE0200" w:rsidP="003C352E">
            <w:pPr>
              <w:jc w:val="center"/>
              <w:rPr>
                <w:rFonts w:ascii="Times New Roman" w:eastAsia="Times New Roman" w:hAnsi="Times New Roman" w:cs="Times New Roman"/>
                <w:sz w:val="20"/>
                <w:szCs w:val="20"/>
                <w:lang w:eastAsia="en-US"/>
              </w:rPr>
            </w:pPr>
            <w:r w:rsidRPr="00114627">
              <w:rPr>
                <w:rFonts w:ascii="Times New Roman" w:eastAsia="Times New Roman" w:hAnsi="Times New Roman" w:cs="Times New Roman"/>
                <w:sz w:val="20"/>
                <w:szCs w:val="20"/>
              </w:rPr>
              <w:t>30.9</w:t>
            </w:r>
          </w:p>
        </w:tc>
        <w:tc>
          <w:tcPr>
            <w:tcW w:w="1740" w:type="dxa"/>
            <w:gridSpan w:val="2"/>
            <w:tcBorders>
              <w:top w:val="nil"/>
              <w:left w:val="nil"/>
              <w:bottom w:val="nil"/>
              <w:right w:val="nil"/>
            </w:tcBorders>
            <w:shd w:val="clear" w:color="auto" w:fill="auto"/>
            <w:noWrap/>
            <w:vAlign w:val="bottom"/>
            <w:hideMark/>
          </w:tcPr>
          <w:p w:rsidR="00FE0200" w:rsidRPr="00114627" w:rsidRDefault="00FE0200" w:rsidP="003C352E">
            <w:pPr>
              <w:jc w:val="center"/>
              <w:rPr>
                <w:rFonts w:ascii="Times New Roman" w:eastAsia="Times New Roman" w:hAnsi="Times New Roman" w:cs="Times New Roman"/>
                <w:sz w:val="20"/>
                <w:szCs w:val="20"/>
                <w:lang w:eastAsia="en-US"/>
              </w:rPr>
            </w:pPr>
            <w:r w:rsidRPr="00114627">
              <w:rPr>
                <w:rFonts w:ascii="Times New Roman" w:eastAsia="Times New Roman" w:hAnsi="Times New Roman" w:cs="Times New Roman"/>
                <w:sz w:val="20"/>
                <w:szCs w:val="20"/>
              </w:rPr>
              <w:t>28.9</w:t>
            </w:r>
          </w:p>
        </w:tc>
        <w:tc>
          <w:tcPr>
            <w:tcW w:w="1780" w:type="dxa"/>
            <w:gridSpan w:val="2"/>
            <w:tcBorders>
              <w:top w:val="nil"/>
              <w:left w:val="nil"/>
              <w:bottom w:val="nil"/>
              <w:right w:val="nil"/>
            </w:tcBorders>
            <w:shd w:val="clear" w:color="auto" w:fill="auto"/>
            <w:noWrap/>
            <w:vAlign w:val="bottom"/>
            <w:hideMark/>
          </w:tcPr>
          <w:p w:rsidR="00FE0200" w:rsidRPr="00114627" w:rsidRDefault="00FE0200" w:rsidP="003C352E">
            <w:pPr>
              <w:jc w:val="center"/>
              <w:rPr>
                <w:rFonts w:ascii="Times New Roman" w:eastAsia="Times New Roman" w:hAnsi="Times New Roman" w:cs="Times New Roman"/>
                <w:sz w:val="20"/>
                <w:szCs w:val="20"/>
                <w:lang w:eastAsia="en-US"/>
              </w:rPr>
            </w:pPr>
            <w:r w:rsidRPr="00114627">
              <w:rPr>
                <w:rFonts w:ascii="Times New Roman" w:eastAsia="Times New Roman" w:hAnsi="Times New Roman" w:cs="Times New Roman"/>
                <w:sz w:val="20"/>
                <w:szCs w:val="20"/>
              </w:rPr>
              <w:t>31.9</w:t>
            </w:r>
          </w:p>
        </w:tc>
      </w:tr>
      <w:tr w:rsidR="00FE0200" w:rsidRPr="00790A85" w:rsidTr="003C352E">
        <w:trPr>
          <w:gridAfter w:val="1"/>
          <w:wAfter w:w="355" w:type="dxa"/>
          <w:trHeight w:val="240"/>
        </w:trPr>
        <w:tc>
          <w:tcPr>
            <w:tcW w:w="3705" w:type="dxa"/>
            <w:tcBorders>
              <w:top w:val="nil"/>
              <w:left w:val="nil"/>
              <w:bottom w:val="nil"/>
              <w:right w:val="nil"/>
            </w:tcBorders>
            <w:shd w:val="clear" w:color="auto" w:fill="auto"/>
            <w:noWrap/>
            <w:vAlign w:val="bottom"/>
            <w:hideMark/>
          </w:tcPr>
          <w:p w:rsidR="00FE0200" w:rsidRPr="00790A85" w:rsidRDefault="00FE0200" w:rsidP="003C352E">
            <w:pPr>
              <w:rPr>
                <w:rFonts w:ascii="Times" w:eastAsia="Times New Roman" w:hAnsi="Times" w:cs="Times New Roman"/>
                <w:sz w:val="20"/>
                <w:szCs w:val="20"/>
                <w:lang w:eastAsia="en-US"/>
              </w:rPr>
            </w:pPr>
            <w:r w:rsidRPr="00790A85">
              <w:rPr>
                <w:rFonts w:ascii="Times" w:eastAsia="Times New Roman" w:hAnsi="Times" w:cs="Times New Roman"/>
                <w:sz w:val="20"/>
                <w:szCs w:val="20"/>
                <w:lang w:eastAsia="en-US"/>
              </w:rPr>
              <w:t>ingestion/inhalation ratio</w:t>
            </w:r>
          </w:p>
        </w:tc>
        <w:tc>
          <w:tcPr>
            <w:tcW w:w="1720" w:type="dxa"/>
            <w:gridSpan w:val="2"/>
            <w:tcBorders>
              <w:top w:val="nil"/>
              <w:left w:val="nil"/>
              <w:bottom w:val="nil"/>
              <w:right w:val="nil"/>
            </w:tcBorders>
            <w:shd w:val="clear" w:color="auto" w:fill="auto"/>
            <w:noWrap/>
            <w:vAlign w:val="bottom"/>
            <w:hideMark/>
          </w:tcPr>
          <w:p w:rsidR="00FE0200" w:rsidRPr="00114627" w:rsidRDefault="00FE0200" w:rsidP="003C352E">
            <w:pPr>
              <w:jc w:val="center"/>
              <w:rPr>
                <w:rFonts w:ascii="Times New Roman" w:eastAsia="Times New Roman" w:hAnsi="Times New Roman" w:cs="Times New Roman"/>
                <w:sz w:val="20"/>
                <w:szCs w:val="20"/>
                <w:lang w:eastAsia="en-US"/>
              </w:rPr>
            </w:pPr>
            <w:r w:rsidRPr="00114627">
              <w:rPr>
                <w:rFonts w:ascii="Times New Roman" w:eastAsia="Times New Roman" w:hAnsi="Times New Roman" w:cs="Times New Roman"/>
                <w:sz w:val="20"/>
                <w:szCs w:val="20"/>
              </w:rPr>
              <w:t>17.3</w:t>
            </w:r>
          </w:p>
        </w:tc>
        <w:tc>
          <w:tcPr>
            <w:tcW w:w="1740" w:type="dxa"/>
            <w:gridSpan w:val="2"/>
            <w:tcBorders>
              <w:top w:val="nil"/>
              <w:left w:val="nil"/>
              <w:bottom w:val="nil"/>
              <w:right w:val="nil"/>
            </w:tcBorders>
            <w:shd w:val="clear" w:color="auto" w:fill="auto"/>
            <w:noWrap/>
            <w:vAlign w:val="bottom"/>
            <w:hideMark/>
          </w:tcPr>
          <w:p w:rsidR="00FE0200" w:rsidRPr="00114627" w:rsidRDefault="00FE0200" w:rsidP="003C352E">
            <w:pPr>
              <w:jc w:val="center"/>
              <w:rPr>
                <w:rFonts w:ascii="Times New Roman" w:eastAsia="Times New Roman" w:hAnsi="Times New Roman" w:cs="Times New Roman"/>
                <w:sz w:val="20"/>
                <w:szCs w:val="20"/>
                <w:lang w:eastAsia="en-US"/>
              </w:rPr>
            </w:pPr>
            <w:r w:rsidRPr="00114627">
              <w:rPr>
                <w:rFonts w:ascii="Times New Roman" w:eastAsia="Times New Roman" w:hAnsi="Times New Roman" w:cs="Times New Roman"/>
                <w:sz w:val="20"/>
                <w:szCs w:val="20"/>
              </w:rPr>
              <w:t>8.1</w:t>
            </w:r>
          </w:p>
        </w:tc>
        <w:tc>
          <w:tcPr>
            <w:tcW w:w="1780" w:type="dxa"/>
            <w:gridSpan w:val="2"/>
            <w:tcBorders>
              <w:top w:val="nil"/>
              <w:left w:val="nil"/>
              <w:bottom w:val="nil"/>
              <w:right w:val="nil"/>
            </w:tcBorders>
            <w:shd w:val="clear" w:color="auto" w:fill="auto"/>
            <w:noWrap/>
            <w:vAlign w:val="bottom"/>
            <w:hideMark/>
          </w:tcPr>
          <w:p w:rsidR="00FE0200" w:rsidRPr="00114627" w:rsidRDefault="00FE0200" w:rsidP="003C352E">
            <w:pPr>
              <w:jc w:val="center"/>
              <w:rPr>
                <w:rFonts w:ascii="Times New Roman" w:eastAsia="Times New Roman" w:hAnsi="Times New Roman" w:cs="Times New Roman"/>
                <w:sz w:val="20"/>
                <w:szCs w:val="20"/>
                <w:lang w:eastAsia="en-US"/>
              </w:rPr>
            </w:pPr>
            <w:r w:rsidRPr="00114627">
              <w:rPr>
                <w:rFonts w:ascii="Times New Roman" w:eastAsia="Times New Roman" w:hAnsi="Times New Roman" w:cs="Times New Roman"/>
                <w:sz w:val="20"/>
                <w:szCs w:val="20"/>
              </w:rPr>
              <w:t>38.3</w:t>
            </w:r>
          </w:p>
        </w:tc>
      </w:tr>
    </w:tbl>
    <w:p w:rsidR="00FE0200" w:rsidRDefault="00FE0200" w:rsidP="00FE0200">
      <w:pPr>
        <w:pStyle w:val="Body2"/>
      </w:pPr>
    </w:p>
    <w:p w:rsidR="00FE0200" w:rsidRDefault="00FE0200" w:rsidP="00B438F0">
      <w:pPr>
        <w:pStyle w:val="Body"/>
      </w:pPr>
      <w:r>
        <w:br w:type="page"/>
      </w:r>
    </w:p>
    <w:p w:rsidR="00DE5E06" w:rsidRDefault="00B438F0">
      <w:pPr>
        <w:rPr>
          <w:rFonts w:ascii="Times New Roman" w:hAnsi="Times New Roman" w:cs="Times New Roman"/>
        </w:rPr>
      </w:pPr>
      <w:proofErr w:type="gramStart"/>
      <w:r w:rsidRPr="00F94CAE">
        <w:rPr>
          <w:rFonts w:ascii="Times New Roman" w:hAnsi="Times New Roman" w:cs="Times New Roman"/>
        </w:rPr>
        <w:lastRenderedPageBreak/>
        <w:t>limits</w:t>
      </w:r>
      <w:proofErr w:type="gramEnd"/>
      <w:r w:rsidRPr="00F94CAE">
        <w:rPr>
          <w:rFonts w:ascii="Times New Roman" w:hAnsi="Times New Roman" w:cs="Times New Roman"/>
        </w:rPr>
        <w:t xml:space="preserve"> of 30-329 derived from the Nolan et al. data.  Therefore we must conclude that although there is some overlap in the 95% confidence bounds, there is likely to have been some unsuspected source of systematic measurement error that has caused the ingestion </w:t>
      </w:r>
      <w:proofErr w:type="spellStart"/>
      <w:r w:rsidRPr="00F94CAE">
        <w:rPr>
          <w:rFonts w:ascii="Times New Roman" w:hAnsi="Times New Roman" w:cs="Times New Roman"/>
        </w:rPr>
        <w:t>dosimetry</w:t>
      </w:r>
      <w:proofErr w:type="spellEnd"/>
      <w:r w:rsidRPr="00F94CAE">
        <w:rPr>
          <w:rFonts w:ascii="Times New Roman" w:hAnsi="Times New Roman" w:cs="Times New Roman"/>
        </w:rPr>
        <w:t xml:space="preserve"> implications of the </w:t>
      </w:r>
      <w:proofErr w:type="spellStart"/>
      <w:r w:rsidRPr="00F94CAE">
        <w:rPr>
          <w:rFonts w:ascii="Times New Roman" w:hAnsi="Times New Roman" w:cs="Times New Roman"/>
        </w:rPr>
        <w:t>Kisicki</w:t>
      </w:r>
      <w:proofErr w:type="spellEnd"/>
      <w:r w:rsidRPr="00F94CAE">
        <w:rPr>
          <w:rFonts w:ascii="Times New Roman" w:hAnsi="Times New Roman" w:cs="Times New Roman"/>
        </w:rPr>
        <w:t xml:space="preserve"> observations to diverge by about 5 fold from those of Nolan et al.  The model structure assumption involved with first pass metabolism amplifies this difference compared with the much more modest 30.1/18.1 = 1.66 fold difference at the geometric means implied by the two sets of data for the inhalation </w:t>
      </w:r>
      <w:proofErr w:type="spellStart"/>
      <w:r w:rsidRPr="00F94CAE">
        <w:rPr>
          <w:rFonts w:ascii="Times New Roman" w:hAnsi="Times New Roman" w:cs="Times New Roman"/>
        </w:rPr>
        <w:t>dosimetry</w:t>
      </w:r>
      <w:proofErr w:type="spellEnd"/>
      <w:r w:rsidRPr="00F94CAE">
        <w:rPr>
          <w:rFonts w:ascii="Times New Roman" w:hAnsi="Times New Roman" w:cs="Times New Roman"/>
        </w:rPr>
        <w:t xml:space="preserve"> factor.</w:t>
      </w:r>
    </w:p>
    <w:p w:rsidR="00F94CAE" w:rsidRDefault="00F94CAE">
      <w:pPr>
        <w:rPr>
          <w:rFonts w:ascii="Times New Roman" w:hAnsi="Times New Roman" w:cs="Times New Roman"/>
        </w:rPr>
      </w:pPr>
    </w:p>
    <w:p w:rsidR="002B6D02" w:rsidRDefault="002B6D02">
      <w:pPr>
        <w:rPr>
          <w:rFonts w:ascii="Times New Roman" w:hAnsi="Times New Roman" w:cs="Times New Roman"/>
        </w:rPr>
      </w:pPr>
    </w:p>
    <w:p w:rsidR="002B6D02" w:rsidRDefault="002B6D02">
      <w:pPr>
        <w:rPr>
          <w:rFonts w:ascii="Times New Roman" w:hAnsi="Times New Roman" w:cs="Times New Roman"/>
        </w:rPr>
      </w:pPr>
    </w:p>
    <w:p w:rsidR="002B6D02" w:rsidRPr="002B6D02" w:rsidRDefault="004375A8" w:rsidP="002B6D02">
      <w:pPr>
        <w:jc w:val="center"/>
        <w:rPr>
          <w:rFonts w:ascii="Cambria" w:hAnsi="Cambria" w:cs="Times New Roman"/>
          <w:noProof/>
        </w:rPr>
      </w:pPr>
      <w:r>
        <w:rPr>
          <w:rFonts w:ascii="Times New Roman" w:hAnsi="Times New Roman" w:cs="Times New Roman"/>
        </w:rPr>
        <w:fldChar w:fldCharType="begin"/>
      </w:r>
      <w:r w:rsidR="002B6D02">
        <w:rPr>
          <w:rFonts w:ascii="Times New Roman" w:hAnsi="Times New Roman" w:cs="Times New Roman"/>
        </w:rPr>
        <w:instrText xml:space="preserve"> ADDIN EN.REFLIST </w:instrText>
      </w:r>
      <w:r>
        <w:rPr>
          <w:rFonts w:ascii="Times New Roman" w:hAnsi="Times New Roman" w:cs="Times New Roman"/>
        </w:rPr>
        <w:fldChar w:fldCharType="separate"/>
      </w:r>
      <w:r w:rsidR="002B6D02">
        <w:rPr>
          <w:rFonts w:ascii="Cambria" w:hAnsi="Cambria" w:cs="Times New Roman"/>
          <w:noProof/>
        </w:rPr>
        <w:t>R</w:t>
      </w:r>
      <w:r w:rsidR="002B6D02" w:rsidRPr="002B6D02">
        <w:rPr>
          <w:rFonts w:ascii="Cambria" w:hAnsi="Cambria" w:cs="Times New Roman"/>
          <w:noProof/>
        </w:rPr>
        <w:t>eferences</w:t>
      </w:r>
    </w:p>
    <w:p w:rsidR="002B6D02" w:rsidRPr="002B6D02" w:rsidRDefault="002B6D02" w:rsidP="002B6D02">
      <w:pPr>
        <w:jc w:val="center"/>
        <w:rPr>
          <w:rFonts w:ascii="Cambria" w:hAnsi="Cambria" w:cs="Times New Roman"/>
          <w:noProof/>
        </w:rPr>
      </w:pPr>
    </w:p>
    <w:p w:rsidR="002B6D02" w:rsidRPr="002B6D02" w:rsidRDefault="002B6D02" w:rsidP="002B6D02">
      <w:pPr>
        <w:rPr>
          <w:rFonts w:ascii="Cambria" w:hAnsi="Cambria" w:cs="Times New Roman"/>
          <w:noProof/>
        </w:rPr>
      </w:pPr>
      <w:bookmarkStart w:id="6" w:name="_ENREF_1"/>
      <w:r w:rsidRPr="002B6D02">
        <w:rPr>
          <w:rFonts w:ascii="Cambria" w:hAnsi="Cambria" w:cs="Times New Roman"/>
          <w:noProof/>
        </w:rPr>
        <w:t>1.</w:t>
      </w:r>
      <w:r w:rsidRPr="002B6D02">
        <w:rPr>
          <w:rFonts w:ascii="Cambria" w:hAnsi="Cambria" w:cs="Times New Roman"/>
          <w:noProof/>
        </w:rPr>
        <w:tab/>
        <w:t>Eaton DL, Daroff RB, Autrup H et al. Review of the toxicology of chlorpyrifos with an emphasis on human exposure and neurodevelopment. Crit Rev Toxicol, 2008; 38 Suppl 2:1-125.</w:t>
      </w:r>
      <w:bookmarkEnd w:id="6"/>
    </w:p>
    <w:p w:rsidR="002B6D02" w:rsidRPr="002B6D02" w:rsidRDefault="002B6D02" w:rsidP="002B6D02">
      <w:pPr>
        <w:rPr>
          <w:rFonts w:ascii="Cambria" w:hAnsi="Cambria" w:cs="Times New Roman"/>
          <w:noProof/>
        </w:rPr>
      </w:pPr>
      <w:bookmarkStart w:id="7" w:name="_ENREF_2"/>
      <w:r w:rsidRPr="002B6D02">
        <w:rPr>
          <w:rFonts w:ascii="Cambria" w:hAnsi="Cambria" w:cs="Times New Roman"/>
          <w:noProof/>
        </w:rPr>
        <w:t>2.</w:t>
      </w:r>
      <w:r w:rsidRPr="002B6D02">
        <w:rPr>
          <w:rFonts w:ascii="Cambria" w:hAnsi="Cambria" w:cs="Times New Roman"/>
          <w:noProof/>
        </w:rPr>
        <w:tab/>
        <w:t>Knuppel RA, Sbarra AJ, Cetrulo CL et al. 24-hour urine creatinine excretion in pregnancy. Obstet Gynecol, 1979; 54 (3):327-9.</w:t>
      </w:r>
      <w:bookmarkEnd w:id="7"/>
    </w:p>
    <w:p w:rsidR="002B6D02" w:rsidRPr="002B6D02" w:rsidRDefault="002B6D02" w:rsidP="002B6D02">
      <w:pPr>
        <w:rPr>
          <w:rFonts w:ascii="Cambria" w:hAnsi="Cambria" w:cs="Times New Roman"/>
          <w:noProof/>
        </w:rPr>
      </w:pPr>
      <w:bookmarkStart w:id="8" w:name="_ENREF_3"/>
      <w:r w:rsidRPr="002B6D02">
        <w:rPr>
          <w:rFonts w:ascii="Cambria" w:hAnsi="Cambria" w:cs="Times New Roman"/>
          <w:noProof/>
        </w:rPr>
        <w:t>3.</w:t>
      </w:r>
      <w:r w:rsidRPr="002B6D02">
        <w:rPr>
          <w:rFonts w:ascii="Cambria" w:hAnsi="Cambria" w:cs="Times New Roman"/>
          <w:noProof/>
        </w:rPr>
        <w:tab/>
        <w:t>Speirs-Bridge A, Fidler F, McBride M et al. Reducing overconfidence in the interval judgments of experts. Risk analysis : an official publication of the Society for Risk Analysis, 2010; 30 (3):512-23.</w:t>
      </w:r>
      <w:bookmarkEnd w:id="8"/>
    </w:p>
    <w:p w:rsidR="002B6D02" w:rsidRPr="002B6D02" w:rsidRDefault="002B6D02" w:rsidP="002B6D02">
      <w:pPr>
        <w:rPr>
          <w:rFonts w:ascii="Cambria" w:hAnsi="Cambria" w:cs="Times New Roman"/>
          <w:noProof/>
        </w:rPr>
      </w:pPr>
      <w:bookmarkStart w:id="9" w:name="_ENREF_4"/>
      <w:r w:rsidRPr="002B6D02">
        <w:rPr>
          <w:rFonts w:ascii="Cambria" w:hAnsi="Cambria" w:cs="Times New Roman"/>
          <w:noProof/>
        </w:rPr>
        <w:t>4.</w:t>
      </w:r>
      <w:r w:rsidRPr="002B6D02">
        <w:rPr>
          <w:rFonts w:ascii="Cambria" w:hAnsi="Cambria" w:cs="Times New Roman"/>
          <w:noProof/>
        </w:rPr>
        <w:tab/>
        <w:t>Winman A, Hansson P, Juslin P. Subjective probability intervals: How to reduce overconfidence by interval evaluation. Journal of experimental psychology. Learning, memory, and cognition, 2004; 30 (6):1167-75.</w:t>
      </w:r>
      <w:bookmarkEnd w:id="9"/>
    </w:p>
    <w:p w:rsidR="002B6D02" w:rsidRPr="002B6D02" w:rsidRDefault="002B6D02" w:rsidP="002B6D02">
      <w:pPr>
        <w:rPr>
          <w:rFonts w:ascii="Cambria" w:hAnsi="Cambria" w:cs="Times New Roman"/>
          <w:noProof/>
        </w:rPr>
      </w:pPr>
      <w:bookmarkStart w:id="10" w:name="_ENREF_5"/>
      <w:r w:rsidRPr="002B6D02">
        <w:rPr>
          <w:rFonts w:ascii="Cambria" w:hAnsi="Cambria" w:cs="Times New Roman"/>
          <w:noProof/>
        </w:rPr>
        <w:t>5.</w:t>
      </w:r>
      <w:r w:rsidRPr="002B6D02">
        <w:rPr>
          <w:rFonts w:ascii="Cambria" w:hAnsi="Cambria" w:cs="Times New Roman"/>
          <w:noProof/>
        </w:rPr>
        <w:tab/>
        <w:t>Timchalk C, Nolan, RJ, Mendrala, AL, Ditenber, DA, Brzak, KA, Mattson, JL. A physiologically based pharmacokinetic and pharmacodynamic (pbpk/pd) model for the organophosphate insecticide chlorpyrifos in rats and humans. Toxicological Sciences, 2002; 66:34-53.</w:t>
      </w:r>
      <w:bookmarkEnd w:id="10"/>
    </w:p>
    <w:p w:rsidR="002B6D02" w:rsidRPr="002B6D02" w:rsidRDefault="002B6D02" w:rsidP="002B6D02">
      <w:pPr>
        <w:rPr>
          <w:rFonts w:ascii="Cambria" w:hAnsi="Cambria" w:cs="Times New Roman"/>
          <w:noProof/>
        </w:rPr>
      </w:pPr>
      <w:bookmarkStart w:id="11" w:name="_ENREF_6"/>
      <w:r w:rsidRPr="002B6D02">
        <w:rPr>
          <w:rFonts w:ascii="Cambria" w:hAnsi="Cambria" w:cs="Times New Roman"/>
          <w:noProof/>
        </w:rPr>
        <w:t>6.</w:t>
      </w:r>
      <w:r w:rsidRPr="002B6D02">
        <w:rPr>
          <w:rFonts w:ascii="Cambria" w:hAnsi="Cambria" w:cs="Times New Roman"/>
          <w:noProof/>
        </w:rPr>
        <w:tab/>
        <w:t>Lowe E, Poet, TS, Rick, DL, Marty, MS, Mattson, JL, Timchalk, C, Bartels, MJ. The effect of plasma lipids on the pharmacokinetics of chlorpyrifos and</w:t>
      </w:r>
    </w:p>
    <w:p w:rsidR="002B6D02" w:rsidRPr="002B6D02" w:rsidRDefault="002B6D02" w:rsidP="002B6D02">
      <w:pPr>
        <w:rPr>
          <w:rFonts w:ascii="Cambria" w:hAnsi="Cambria" w:cs="Times New Roman"/>
          <w:noProof/>
        </w:rPr>
      </w:pPr>
      <w:r w:rsidRPr="002B6D02">
        <w:rPr>
          <w:rFonts w:ascii="Cambria" w:hAnsi="Cambria" w:cs="Times New Roman"/>
          <w:noProof/>
        </w:rPr>
        <w:t>the impact on interpretation of blood biomonitoring data. Toxicological Sciences, 2009; 108 (2):258-72.</w:t>
      </w:r>
      <w:bookmarkEnd w:id="11"/>
    </w:p>
    <w:p w:rsidR="002B6D02" w:rsidRPr="002B6D02" w:rsidRDefault="002B6D02" w:rsidP="002B6D02">
      <w:pPr>
        <w:rPr>
          <w:rFonts w:ascii="Cambria" w:hAnsi="Cambria" w:cs="Times New Roman"/>
          <w:noProof/>
        </w:rPr>
      </w:pPr>
      <w:bookmarkStart w:id="12" w:name="_ENREF_7"/>
      <w:r w:rsidRPr="002B6D02">
        <w:rPr>
          <w:rFonts w:ascii="Cambria" w:hAnsi="Cambria" w:cs="Times New Roman"/>
          <w:noProof/>
        </w:rPr>
        <w:t>7.</w:t>
      </w:r>
      <w:r w:rsidRPr="002B6D02">
        <w:rPr>
          <w:rFonts w:ascii="Cambria" w:hAnsi="Cambria" w:cs="Times New Roman"/>
          <w:noProof/>
        </w:rPr>
        <w:tab/>
        <w:t>Timchalk C, Nolan, RJ, Mendrala, AL, Ditenber, DA, Brzak, KA, Mattson, JL. Timchalk c. 2008. Pbpk/pd model simulation of dosimetry for chlorpyrifos following inhalation exposure: Center for biological monitoring &amp; modeling, battelle.Battelle, Center for Biological Monitoring and Modeling, August 28, 2008.</w:t>
      </w:r>
      <w:bookmarkEnd w:id="12"/>
    </w:p>
    <w:p w:rsidR="002B6D02" w:rsidRPr="002B6D02" w:rsidRDefault="002B6D02" w:rsidP="002B6D02">
      <w:pPr>
        <w:rPr>
          <w:rFonts w:ascii="Cambria" w:hAnsi="Cambria" w:cs="Times New Roman"/>
          <w:noProof/>
        </w:rPr>
      </w:pPr>
      <w:bookmarkStart w:id="13" w:name="_ENREF_8"/>
      <w:r w:rsidRPr="002B6D02">
        <w:rPr>
          <w:rFonts w:ascii="Cambria" w:hAnsi="Cambria" w:cs="Times New Roman"/>
          <w:noProof/>
        </w:rPr>
        <w:t>8.</w:t>
      </w:r>
      <w:r w:rsidRPr="002B6D02">
        <w:rPr>
          <w:rFonts w:ascii="Cambria" w:hAnsi="Cambria" w:cs="Times New Roman"/>
          <w:noProof/>
        </w:rPr>
        <w:tab/>
        <w:t>Timchalk C. Pbpk/pd model simulation of dosimetry for chlorpyrifos following inhalation exposureCenter for Biological Monitoring &amp; Modeling, Battelle, August 28, 2008.</w:t>
      </w:r>
      <w:bookmarkEnd w:id="13"/>
    </w:p>
    <w:p w:rsidR="002B6D02" w:rsidRPr="002B6D02" w:rsidRDefault="002B6D02" w:rsidP="002B6D02">
      <w:pPr>
        <w:rPr>
          <w:rFonts w:ascii="Cambria" w:hAnsi="Cambria" w:cs="Times New Roman"/>
          <w:noProof/>
        </w:rPr>
      </w:pPr>
      <w:bookmarkStart w:id="14" w:name="_ENREF_9"/>
      <w:r w:rsidRPr="002B6D02">
        <w:rPr>
          <w:rFonts w:ascii="Cambria" w:hAnsi="Cambria" w:cs="Times New Roman"/>
          <w:noProof/>
        </w:rPr>
        <w:t>9.</w:t>
      </w:r>
      <w:r w:rsidRPr="002B6D02">
        <w:rPr>
          <w:rFonts w:ascii="Cambria" w:hAnsi="Cambria" w:cs="Times New Roman"/>
          <w:noProof/>
        </w:rPr>
        <w:tab/>
        <w:t>Belo L, Caslake M, Santos-Silva A et al. Ldl size, total antioxidant status and oxidised ldl in normal human pregnancy: A longitudinal study. Atherosclerosis, 2004; 177 (2):391-9.</w:t>
      </w:r>
      <w:bookmarkEnd w:id="14"/>
    </w:p>
    <w:p w:rsidR="002B6D02" w:rsidRPr="002B6D02" w:rsidRDefault="002B6D02" w:rsidP="002B6D02">
      <w:pPr>
        <w:rPr>
          <w:rFonts w:ascii="Cambria" w:hAnsi="Cambria" w:cs="Times New Roman"/>
          <w:noProof/>
        </w:rPr>
      </w:pPr>
      <w:bookmarkStart w:id="15" w:name="_ENREF_10"/>
      <w:r w:rsidRPr="002B6D02">
        <w:rPr>
          <w:rFonts w:ascii="Cambria" w:hAnsi="Cambria" w:cs="Times New Roman"/>
          <w:noProof/>
        </w:rPr>
        <w:t>10.</w:t>
      </w:r>
      <w:r w:rsidRPr="002B6D02">
        <w:rPr>
          <w:rFonts w:ascii="Cambria" w:hAnsi="Cambria" w:cs="Times New Roman"/>
          <w:noProof/>
        </w:rPr>
        <w:tab/>
        <w:t>Alberti-Fidanza A, Parizkova J, Fruttini D. Relationship between mothers' and newborns' nutritional and blood lipid variables. European journal of clinical nutrition, 1995; 49 (4):289-98.</w:t>
      </w:r>
      <w:bookmarkEnd w:id="15"/>
    </w:p>
    <w:p w:rsidR="002B6D02" w:rsidRPr="002B6D02" w:rsidRDefault="002B6D02" w:rsidP="002B6D02">
      <w:pPr>
        <w:rPr>
          <w:rFonts w:ascii="Cambria" w:hAnsi="Cambria" w:cs="Times New Roman"/>
          <w:noProof/>
        </w:rPr>
      </w:pPr>
      <w:bookmarkStart w:id="16" w:name="_ENREF_11"/>
      <w:r w:rsidRPr="002B6D02">
        <w:rPr>
          <w:rFonts w:ascii="Cambria" w:hAnsi="Cambria" w:cs="Times New Roman"/>
          <w:noProof/>
        </w:rPr>
        <w:t>11.</w:t>
      </w:r>
      <w:r w:rsidRPr="002B6D02">
        <w:rPr>
          <w:rFonts w:ascii="Cambria" w:hAnsi="Cambria" w:cs="Times New Roman"/>
          <w:noProof/>
        </w:rPr>
        <w:tab/>
        <w:t>Roy AC, Loke DF, Saha N et al. Interrelationships of serum paraoxonase, serum lipids and apolipoproteins in normal pregnancy. A longitudinal study. Gynecologic and obstetric investigation, 1994; 38 (1):10-3.</w:t>
      </w:r>
      <w:bookmarkEnd w:id="16"/>
    </w:p>
    <w:p w:rsidR="002B6D02" w:rsidRPr="002B6D02" w:rsidRDefault="002B6D02" w:rsidP="002B6D02">
      <w:pPr>
        <w:rPr>
          <w:rFonts w:ascii="Cambria" w:hAnsi="Cambria" w:cs="Times New Roman"/>
          <w:noProof/>
        </w:rPr>
      </w:pPr>
      <w:bookmarkStart w:id="17" w:name="_ENREF_12"/>
      <w:r w:rsidRPr="002B6D02">
        <w:rPr>
          <w:rFonts w:ascii="Cambria" w:hAnsi="Cambria" w:cs="Times New Roman"/>
          <w:noProof/>
        </w:rPr>
        <w:lastRenderedPageBreak/>
        <w:t>12.</w:t>
      </w:r>
      <w:r w:rsidRPr="002B6D02">
        <w:rPr>
          <w:rFonts w:ascii="Cambria" w:hAnsi="Cambria" w:cs="Times New Roman"/>
          <w:noProof/>
        </w:rPr>
        <w:tab/>
        <w:t>Smith JN, Timchalk C, Bartels MJ et al. In vitro age-dependent enzymatic metabolism of chlorpyrifos and chlorpyrifos-oxon in human hepatic microsomes and chlorpyrifos-oxon in plasma. Drug metabolism and disposition: the biological fate of chemicals, 2011; 39 (8):1353-62.</w:t>
      </w:r>
      <w:bookmarkEnd w:id="17"/>
    </w:p>
    <w:p w:rsidR="002B6D02" w:rsidRPr="002B6D02" w:rsidRDefault="002B6D02" w:rsidP="002B6D02">
      <w:pPr>
        <w:rPr>
          <w:rFonts w:ascii="Cambria" w:hAnsi="Cambria" w:cs="Times New Roman"/>
          <w:noProof/>
        </w:rPr>
      </w:pPr>
      <w:bookmarkStart w:id="18" w:name="_ENREF_13"/>
      <w:r w:rsidRPr="002B6D02">
        <w:rPr>
          <w:rFonts w:ascii="Cambria" w:hAnsi="Cambria" w:cs="Times New Roman"/>
          <w:noProof/>
        </w:rPr>
        <w:t>13.</w:t>
      </w:r>
      <w:r w:rsidRPr="002B6D02">
        <w:rPr>
          <w:rFonts w:ascii="Cambria" w:hAnsi="Cambria" w:cs="Times New Roman"/>
          <w:noProof/>
        </w:rPr>
        <w:tab/>
        <w:t>Barter ZE, Bayliss MK, Beaune PH et al. Scaling factors for the extrapolation of in vivo metabolic drug clearance from in vitro data: Reaching a consensus on values of human microsomal protein and hepatocellularity per gram of liver. Current drug metabolism, 2007; 8 (1):33-45.</w:t>
      </w:r>
      <w:bookmarkEnd w:id="18"/>
    </w:p>
    <w:p w:rsidR="002B6D02" w:rsidRPr="002B6D02" w:rsidRDefault="002B6D02" w:rsidP="002B6D02">
      <w:pPr>
        <w:rPr>
          <w:rFonts w:ascii="Cambria" w:hAnsi="Cambria" w:cs="Times New Roman"/>
          <w:noProof/>
        </w:rPr>
      </w:pPr>
      <w:bookmarkStart w:id="19" w:name="_ENREF_14"/>
      <w:r w:rsidRPr="002B6D02">
        <w:rPr>
          <w:rFonts w:ascii="Cambria" w:hAnsi="Cambria" w:cs="Times New Roman"/>
          <w:noProof/>
        </w:rPr>
        <w:t>14.</w:t>
      </w:r>
      <w:r w:rsidRPr="002B6D02">
        <w:rPr>
          <w:rFonts w:ascii="Cambria" w:hAnsi="Cambria" w:cs="Times New Roman"/>
          <w:noProof/>
        </w:rPr>
        <w:tab/>
        <w:t>Barter ZE, Chowdry JE, Harlow JR et al. Covariation of human microsomal protein per gram of liver with age: Absence of influence of operator and sample storage may justify interlaboratory data pooling. Drug metabolism and disposition: the biological fate of chemicals, 2008; 36 (12):2405-9.</w:t>
      </w:r>
      <w:bookmarkEnd w:id="19"/>
    </w:p>
    <w:p w:rsidR="002B6D02" w:rsidRPr="002B6D02" w:rsidRDefault="002B6D02" w:rsidP="002B6D02">
      <w:pPr>
        <w:rPr>
          <w:rFonts w:ascii="Cambria" w:hAnsi="Cambria" w:cs="Times New Roman"/>
          <w:noProof/>
        </w:rPr>
      </w:pPr>
      <w:bookmarkStart w:id="20" w:name="_ENREF_15"/>
      <w:r w:rsidRPr="002B6D02">
        <w:rPr>
          <w:rFonts w:ascii="Cambria" w:hAnsi="Cambria" w:cs="Times New Roman"/>
          <w:noProof/>
        </w:rPr>
        <w:t>15.</w:t>
      </w:r>
      <w:r w:rsidRPr="002B6D02">
        <w:rPr>
          <w:rFonts w:ascii="Cambria" w:hAnsi="Cambria" w:cs="Times New Roman"/>
          <w:noProof/>
        </w:rPr>
        <w:tab/>
        <w:t>Cubitt HE, Yeo KR, Howgate EM et al. Sources of interindividual variability in ivive of clearance: An investigation into the prediction of benzodiazepine clearance using a mechanistic population-based pharmacokinetic model. Xenobiotica; the fate of foreign compounds in biological systems, 2011; 41 (8):623-38.</w:t>
      </w:r>
      <w:bookmarkEnd w:id="20"/>
    </w:p>
    <w:p w:rsidR="002B6D02" w:rsidRPr="002B6D02" w:rsidRDefault="002B6D02" w:rsidP="002B6D02">
      <w:pPr>
        <w:rPr>
          <w:rFonts w:ascii="Cambria" w:hAnsi="Cambria" w:cs="Times New Roman"/>
          <w:noProof/>
        </w:rPr>
      </w:pPr>
      <w:bookmarkStart w:id="21" w:name="_ENREF_16"/>
      <w:r w:rsidRPr="002B6D02">
        <w:rPr>
          <w:rFonts w:ascii="Cambria" w:hAnsi="Cambria" w:cs="Times New Roman"/>
          <w:noProof/>
        </w:rPr>
        <w:t>16.</w:t>
      </w:r>
      <w:r w:rsidRPr="002B6D02">
        <w:rPr>
          <w:rFonts w:ascii="Cambria" w:hAnsi="Cambria" w:cs="Times New Roman"/>
          <w:noProof/>
        </w:rPr>
        <w:tab/>
        <w:t>Ito K, Houston, JB. Prediction of human drug clearance from in vitro and preclinical data using physiologically based and empirical approaches. Pharmaceutical research, 2005; 22 (1):103-12.</w:t>
      </w:r>
      <w:bookmarkEnd w:id="21"/>
    </w:p>
    <w:p w:rsidR="002B6D02" w:rsidRPr="002B6D02" w:rsidRDefault="002B6D02" w:rsidP="002B6D02">
      <w:pPr>
        <w:rPr>
          <w:rFonts w:ascii="Cambria" w:hAnsi="Cambria" w:cs="Times New Roman"/>
          <w:noProof/>
        </w:rPr>
      </w:pPr>
      <w:bookmarkStart w:id="22" w:name="_ENREF_17"/>
      <w:r w:rsidRPr="002B6D02">
        <w:rPr>
          <w:rFonts w:ascii="Cambria" w:hAnsi="Cambria" w:cs="Times New Roman"/>
          <w:noProof/>
        </w:rPr>
        <w:t>17.</w:t>
      </w:r>
      <w:r w:rsidRPr="002B6D02">
        <w:rPr>
          <w:rFonts w:ascii="Cambria" w:hAnsi="Cambria" w:cs="Times New Roman"/>
          <w:noProof/>
        </w:rPr>
        <w:tab/>
        <w:t>Loebstein R, Lalkin, A, Koren, G. Pharmacokinetic changes during pregnancy and their clinical relevance. Clinical Pharmacokinetics, 1997; 33:328-43.</w:t>
      </w:r>
      <w:bookmarkEnd w:id="22"/>
    </w:p>
    <w:p w:rsidR="002B6D02" w:rsidRPr="002B6D02" w:rsidRDefault="002B6D02" w:rsidP="002B6D02">
      <w:pPr>
        <w:rPr>
          <w:rFonts w:ascii="Cambria" w:hAnsi="Cambria" w:cs="Times New Roman"/>
          <w:noProof/>
        </w:rPr>
      </w:pPr>
      <w:bookmarkStart w:id="23" w:name="_ENREF_18"/>
      <w:r w:rsidRPr="002B6D02">
        <w:rPr>
          <w:rFonts w:ascii="Cambria" w:hAnsi="Cambria" w:cs="Times New Roman"/>
          <w:noProof/>
        </w:rPr>
        <w:t>18.</w:t>
      </w:r>
      <w:r w:rsidRPr="002B6D02">
        <w:rPr>
          <w:rFonts w:ascii="Cambria" w:hAnsi="Cambria" w:cs="Times New Roman"/>
          <w:noProof/>
        </w:rPr>
        <w:tab/>
        <w:t>Mosquin PL, Licata AC, Liu B et al. Reconstructing exposures from small samples using physiologically based pharmacokinetic models and multiple biomarkers. J Expo Sci Environ Epidemiol, 2009; 19 (3):284-97.</w:t>
      </w:r>
      <w:bookmarkEnd w:id="23"/>
    </w:p>
    <w:p w:rsidR="002B6D02" w:rsidRPr="002B6D02" w:rsidRDefault="002B6D02" w:rsidP="002B6D02">
      <w:pPr>
        <w:rPr>
          <w:rFonts w:ascii="Cambria" w:hAnsi="Cambria" w:cs="Times New Roman"/>
          <w:noProof/>
        </w:rPr>
      </w:pPr>
      <w:bookmarkStart w:id="24" w:name="_ENREF_19"/>
      <w:r w:rsidRPr="002B6D02">
        <w:rPr>
          <w:rFonts w:ascii="Cambria" w:hAnsi="Cambria" w:cs="Times New Roman"/>
          <w:noProof/>
        </w:rPr>
        <w:t>19.</w:t>
      </w:r>
      <w:r w:rsidRPr="002B6D02">
        <w:rPr>
          <w:rFonts w:ascii="Cambria" w:hAnsi="Cambria" w:cs="Times New Roman"/>
          <w:noProof/>
        </w:rPr>
        <w:tab/>
        <w:t>Nolan RJ, Rick DL, Freshour NL et al. Chlorpyrifos: Pharmacokinetics in human volunteers. Toxicol Appl Pharmacol, 1984; 73 (1):8-15.</w:t>
      </w:r>
      <w:bookmarkEnd w:id="24"/>
    </w:p>
    <w:p w:rsidR="002B6D02" w:rsidRPr="002B6D02" w:rsidRDefault="002B6D02" w:rsidP="002B6D02">
      <w:pPr>
        <w:rPr>
          <w:rFonts w:ascii="Cambria" w:hAnsi="Cambria" w:cs="Times New Roman"/>
          <w:noProof/>
        </w:rPr>
      </w:pPr>
      <w:bookmarkStart w:id="25" w:name="_ENREF_20"/>
      <w:r w:rsidRPr="002B6D02">
        <w:rPr>
          <w:rFonts w:ascii="Cambria" w:hAnsi="Cambria" w:cs="Times New Roman"/>
          <w:noProof/>
        </w:rPr>
        <w:t>20.</w:t>
      </w:r>
      <w:r w:rsidRPr="002B6D02">
        <w:rPr>
          <w:rFonts w:ascii="Cambria" w:hAnsi="Cambria" w:cs="Times New Roman"/>
          <w:noProof/>
        </w:rPr>
        <w:tab/>
        <w:t xml:space="preserve">Anonymous. </w:t>
      </w:r>
      <w:r w:rsidR="00C751EC">
        <w:rPr>
          <w:rFonts w:ascii="Cambria" w:hAnsi="Cambria" w:cs="Times New Roman"/>
          <w:noProof/>
        </w:rPr>
        <w:t>EPA</w:t>
      </w:r>
      <w:bookmarkStart w:id="26" w:name="_GoBack"/>
      <w:bookmarkEnd w:id="26"/>
      <w:r w:rsidRPr="002B6D02">
        <w:rPr>
          <w:rFonts w:ascii="Cambria" w:hAnsi="Cambria" w:cs="Times New Roman"/>
          <w:noProof/>
        </w:rPr>
        <w:t xml:space="preserve"> summary of mrid 00124144 nolan. R. J.; freshner, n.L.; et al. (1982) chlorpyrifos: Pharmacokinetics in human volunteers following single oral and dermal doses toxicology and applied pharmacology. 73, 8-15 (1984). EPA Hearing Docket #EPA-HQ-OPP-2008-0274-0012.2.pdf, 2008.</w:t>
      </w:r>
      <w:bookmarkEnd w:id="25"/>
    </w:p>
    <w:p w:rsidR="002B6D02" w:rsidRPr="002B6D02" w:rsidRDefault="002B6D02" w:rsidP="002B6D02">
      <w:pPr>
        <w:rPr>
          <w:rFonts w:ascii="Cambria" w:hAnsi="Cambria" w:cs="Times New Roman"/>
          <w:noProof/>
        </w:rPr>
      </w:pPr>
      <w:bookmarkStart w:id="27" w:name="_ENREF_21"/>
      <w:r w:rsidRPr="002B6D02">
        <w:rPr>
          <w:rFonts w:ascii="Cambria" w:hAnsi="Cambria" w:cs="Times New Roman"/>
          <w:noProof/>
        </w:rPr>
        <w:t>21.</w:t>
      </w:r>
      <w:r w:rsidRPr="002B6D02">
        <w:rPr>
          <w:rFonts w:ascii="Cambria" w:hAnsi="Cambria" w:cs="Times New Roman"/>
          <w:noProof/>
        </w:rPr>
        <w:tab/>
        <w:t>Zhang X, Shen Y, Yu XY et al. Dissipation of chlorpyrifos and residue analysis in rice, soil and water under paddy field conditions. Ecotoxicol Environ Saf, 2011.</w:t>
      </w:r>
      <w:bookmarkEnd w:id="27"/>
    </w:p>
    <w:p w:rsidR="002B6D02" w:rsidRPr="002B6D02" w:rsidRDefault="002B6D02" w:rsidP="002B6D02">
      <w:pPr>
        <w:rPr>
          <w:rFonts w:ascii="Cambria" w:hAnsi="Cambria" w:cs="Times New Roman"/>
          <w:noProof/>
        </w:rPr>
      </w:pPr>
      <w:bookmarkStart w:id="28" w:name="_ENREF_22"/>
      <w:r w:rsidRPr="002B6D02">
        <w:rPr>
          <w:rFonts w:ascii="Cambria" w:hAnsi="Cambria" w:cs="Times New Roman"/>
          <w:noProof/>
        </w:rPr>
        <w:t>22.</w:t>
      </w:r>
      <w:r w:rsidRPr="002B6D02">
        <w:rPr>
          <w:rFonts w:ascii="Cambria" w:hAnsi="Cambria" w:cs="Times New Roman"/>
          <w:noProof/>
        </w:rPr>
        <w:tab/>
        <w:t>Karunanayake CP, Spinelli JJ, McLaughlin JR et al. Hodgkin lymphoma and pesticides exposure in men: A canadian case-control study. J Agromedicine, 2012; 17 (1):30-9.</w:t>
      </w:r>
      <w:bookmarkEnd w:id="28"/>
    </w:p>
    <w:p w:rsidR="002B6D02" w:rsidRPr="002B6D02" w:rsidRDefault="002B6D02" w:rsidP="002B6D02">
      <w:pPr>
        <w:rPr>
          <w:rFonts w:ascii="Cambria" w:hAnsi="Cambria" w:cs="Times New Roman"/>
          <w:noProof/>
        </w:rPr>
      </w:pPr>
      <w:bookmarkStart w:id="29" w:name="_ENREF_23"/>
      <w:r w:rsidRPr="002B6D02">
        <w:rPr>
          <w:rFonts w:ascii="Cambria" w:hAnsi="Cambria" w:cs="Times New Roman"/>
          <w:noProof/>
        </w:rPr>
        <w:t>23.</w:t>
      </w:r>
      <w:r w:rsidRPr="002B6D02">
        <w:rPr>
          <w:rFonts w:ascii="Cambria" w:hAnsi="Cambria" w:cs="Times New Roman"/>
          <w:noProof/>
        </w:rPr>
        <w:tab/>
        <w:t>Kisicki J, Seip, CW, Combs, ML. A rising dose toxicology study to determine the no-observable-effect-levels (for erthyrocyte acetylcholinesterase (ache) inhibition and cholinergic signs and symptoms of chlorpyrifos at three dose levels.MDC Harris Laboratory, Lincoln Nebraska, April 18, 1999  Report No.: MRID No.: 44811002.</w:t>
      </w:r>
      <w:bookmarkEnd w:id="29"/>
    </w:p>
    <w:p w:rsidR="002B6D02" w:rsidRPr="002B6D02" w:rsidRDefault="002B6D02" w:rsidP="002B6D02">
      <w:pPr>
        <w:rPr>
          <w:rFonts w:ascii="Cambria" w:hAnsi="Cambria" w:cs="Times New Roman"/>
          <w:noProof/>
        </w:rPr>
      </w:pPr>
      <w:bookmarkStart w:id="30" w:name="_ENREF_24"/>
      <w:r w:rsidRPr="002B6D02">
        <w:rPr>
          <w:rFonts w:ascii="Cambria" w:hAnsi="Cambria" w:cs="Times New Roman"/>
          <w:noProof/>
        </w:rPr>
        <w:t>24.</w:t>
      </w:r>
      <w:r w:rsidRPr="002B6D02">
        <w:rPr>
          <w:rFonts w:ascii="Cambria" w:hAnsi="Cambria" w:cs="Times New Roman"/>
          <w:noProof/>
        </w:rPr>
        <w:tab/>
        <w:t>Brzak K. A rising dose toxicology study to determine the no-observable-effect levels for erthyrocyte acetylcholinesterase (ache) inhibition and cholinergic signs and symptoms of chlorpyrifos at three dose levels - part b (pharmacokinetic and paraoxonase data).Toxicology and Environmental Research and Consulting, June 5, 2000  Report No.: Study No.: 981176, June 5, 2000. MRID No.: 45144101.</w:t>
      </w:r>
      <w:bookmarkEnd w:id="30"/>
    </w:p>
    <w:p w:rsidR="002B6D02" w:rsidRPr="002B6D02" w:rsidRDefault="002B6D02" w:rsidP="002B6D02">
      <w:pPr>
        <w:rPr>
          <w:rFonts w:ascii="Cambria" w:hAnsi="Cambria" w:cs="Times New Roman"/>
          <w:noProof/>
        </w:rPr>
      </w:pPr>
      <w:bookmarkStart w:id="31" w:name="_ENREF_25"/>
      <w:r w:rsidRPr="002B6D02">
        <w:rPr>
          <w:rFonts w:ascii="Cambria" w:hAnsi="Cambria" w:cs="Times New Roman"/>
          <w:noProof/>
        </w:rPr>
        <w:t>25.</w:t>
      </w:r>
      <w:r w:rsidRPr="002B6D02">
        <w:rPr>
          <w:rFonts w:ascii="Cambria" w:hAnsi="Cambria" w:cs="Times New Roman"/>
          <w:noProof/>
        </w:rPr>
        <w:tab/>
        <w:t>Doherty J, Taylor L. Data evaluation record, special</w:t>
      </w:r>
      <w:r w:rsidR="00C751EC">
        <w:rPr>
          <w:rFonts w:ascii="Cambria" w:hAnsi="Cambria" w:cs="Times New Roman"/>
          <w:noProof/>
        </w:rPr>
        <w:t xml:space="preserve"> RBC ACHE</w:t>
      </w:r>
      <w:r w:rsidRPr="002B6D02">
        <w:rPr>
          <w:rFonts w:ascii="Cambria" w:hAnsi="Cambria" w:cs="Times New Roman"/>
          <w:noProof/>
        </w:rPr>
        <w:t xml:space="preserve"> in humansU.S. Environmental Protection Agency  Report No.: DP Barcode: D255538; PC Code: 059101, Submission No. S561108.</w:t>
      </w:r>
      <w:bookmarkEnd w:id="31"/>
    </w:p>
    <w:p w:rsidR="002B6D02" w:rsidRDefault="002B6D02" w:rsidP="002B6D02">
      <w:pPr>
        <w:rPr>
          <w:rFonts w:ascii="Times New Roman" w:hAnsi="Times New Roman" w:cs="Times New Roman"/>
          <w:noProof/>
        </w:rPr>
      </w:pPr>
    </w:p>
    <w:p w:rsidR="00F94CAE" w:rsidRPr="00F94CAE" w:rsidRDefault="004375A8">
      <w:pPr>
        <w:rPr>
          <w:rFonts w:ascii="Times New Roman" w:hAnsi="Times New Roman" w:cs="Times New Roman"/>
        </w:rPr>
      </w:pPr>
      <w:r>
        <w:rPr>
          <w:rFonts w:ascii="Times New Roman" w:hAnsi="Times New Roman" w:cs="Times New Roman"/>
        </w:rPr>
        <w:fldChar w:fldCharType="end"/>
      </w:r>
    </w:p>
    <w:sectPr w:rsidR="00F94CAE" w:rsidRPr="00F94CAE" w:rsidSect="00DE5E06">
      <w:footerReference w:type="even" r:id="rId24"/>
      <w:footerReference w:type="default" r:id="rId25"/>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E02" w:rsidRDefault="00277E02">
      <w:r>
        <w:separator/>
      </w:r>
    </w:p>
  </w:endnote>
  <w:endnote w:type="continuationSeparator" w:id="0">
    <w:p w:rsidR="00277E02" w:rsidRDefault="00277E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8F0" w:rsidRDefault="004375A8" w:rsidP="003C352E">
    <w:pPr>
      <w:pStyle w:val="Footer"/>
      <w:framePr w:wrap="around" w:vAnchor="text" w:hAnchor="margin" w:xAlign="center" w:y="1"/>
      <w:rPr>
        <w:rStyle w:val="PageNumber"/>
      </w:rPr>
    </w:pPr>
    <w:r>
      <w:rPr>
        <w:rStyle w:val="PageNumber"/>
      </w:rPr>
      <w:fldChar w:fldCharType="begin"/>
    </w:r>
    <w:r w:rsidR="00B438F0">
      <w:rPr>
        <w:rStyle w:val="PageNumber"/>
      </w:rPr>
      <w:instrText xml:space="preserve">PAGE  </w:instrText>
    </w:r>
    <w:r>
      <w:rPr>
        <w:rStyle w:val="PageNumber"/>
      </w:rPr>
      <w:fldChar w:fldCharType="end"/>
    </w:r>
  </w:p>
  <w:p w:rsidR="00B438F0" w:rsidRDefault="00B438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8F0" w:rsidRDefault="004375A8" w:rsidP="003C352E">
    <w:pPr>
      <w:pStyle w:val="Footer"/>
      <w:framePr w:wrap="around" w:vAnchor="text" w:hAnchor="margin" w:xAlign="center" w:y="1"/>
      <w:rPr>
        <w:rStyle w:val="PageNumber"/>
      </w:rPr>
    </w:pPr>
    <w:r>
      <w:rPr>
        <w:rStyle w:val="PageNumber"/>
      </w:rPr>
      <w:fldChar w:fldCharType="begin"/>
    </w:r>
    <w:r w:rsidR="00B438F0">
      <w:rPr>
        <w:rStyle w:val="PageNumber"/>
      </w:rPr>
      <w:instrText xml:space="preserve">PAGE  </w:instrText>
    </w:r>
    <w:r>
      <w:rPr>
        <w:rStyle w:val="PageNumber"/>
      </w:rPr>
      <w:fldChar w:fldCharType="separate"/>
    </w:r>
    <w:r w:rsidR="00D80804">
      <w:rPr>
        <w:rStyle w:val="PageNumber"/>
        <w:noProof/>
      </w:rPr>
      <w:t>28</w:t>
    </w:r>
    <w:r>
      <w:rPr>
        <w:rStyle w:val="PageNumber"/>
      </w:rPr>
      <w:fldChar w:fldCharType="end"/>
    </w:r>
  </w:p>
  <w:p w:rsidR="00B438F0" w:rsidRDefault="00B438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E02" w:rsidRDefault="00277E02">
      <w:r>
        <w:separator/>
      </w:r>
    </w:p>
  </w:footnote>
  <w:footnote w:type="continuationSeparator" w:id="0">
    <w:p w:rsidR="00277E02" w:rsidRDefault="00277E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8487F"/>
    <w:multiLevelType w:val="hybridMultilevel"/>
    <w:tmpl w:val="CE66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20361"/>
    <w:multiLevelType w:val="hybridMultilevel"/>
    <w:tmpl w:val="7DFE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0113D"/>
    <w:multiLevelType w:val="hybridMultilevel"/>
    <w:tmpl w:val="ECF2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B4138"/>
    <w:multiLevelType w:val="hybridMultilevel"/>
    <w:tmpl w:val="9F8E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82657F"/>
    <w:multiLevelType w:val="hybridMultilevel"/>
    <w:tmpl w:val="1AB863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69720B4C"/>
    <w:multiLevelType w:val="hybridMultilevel"/>
    <w:tmpl w:val="D16E16C0"/>
    <w:lvl w:ilvl="0" w:tplc="4360193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Risk Analysis&lt;/Style&gt;&lt;LeftDelim&gt;{&lt;/LeftDelim&gt;&lt;RightDelim&gt;}&lt;/RightDelim&gt;&lt;FontName&gt;Cambria&lt;/FontName&gt;&lt;FontSize&gt;12&lt;/FontSize&gt;&lt;ReflistTitle&gt;nextgen 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pt5x9twmavw5feppw2p0x27wdvz92ez0va2&quot;&gt;Chlorpyrifos 9_11&lt;record-ids&gt;&lt;item&gt;230&lt;/item&gt;&lt;item&gt;232&lt;/item&gt;&lt;item&gt;233&lt;/item&gt;&lt;/record-ids&gt;&lt;/item&gt;&lt;/Libraries&gt;"/>
  </w:docVars>
  <w:rsids>
    <w:rsidRoot w:val="00FE0200"/>
    <w:rsid w:val="00091CF4"/>
    <w:rsid w:val="000E3055"/>
    <w:rsid w:val="0018210E"/>
    <w:rsid w:val="002500A2"/>
    <w:rsid w:val="00277E02"/>
    <w:rsid w:val="002B6D02"/>
    <w:rsid w:val="002D17D2"/>
    <w:rsid w:val="0035017C"/>
    <w:rsid w:val="003C352E"/>
    <w:rsid w:val="00415BC1"/>
    <w:rsid w:val="004375A8"/>
    <w:rsid w:val="00482E7C"/>
    <w:rsid w:val="00635E94"/>
    <w:rsid w:val="00707035"/>
    <w:rsid w:val="0071404D"/>
    <w:rsid w:val="007675E5"/>
    <w:rsid w:val="00774DF0"/>
    <w:rsid w:val="007812A9"/>
    <w:rsid w:val="007824B5"/>
    <w:rsid w:val="008E6C23"/>
    <w:rsid w:val="009947E3"/>
    <w:rsid w:val="00A35A9C"/>
    <w:rsid w:val="00A97894"/>
    <w:rsid w:val="00AE6293"/>
    <w:rsid w:val="00B33460"/>
    <w:rsid w:val="00B438F0"/>
    <w:rsid w:val="00BA644D"/>
    <w:rsid w:val="00BB4C7B"/>
    <w:rsid w:val="00C05ACF"/>
    <w:rsid w:val="00C751EC"/>
    <w:rsid w:val="00D044AA"/>
    <w:rsid w:val="00D80804"/>
    <w:rsid w:val="00D937BC"/>
    <w:rsid w:val="00DE5E06"/>
    <w:rsid w:val="00E07A4F"/>
    <w:rsid w:val="00F05973"/>
    <w:rsid w:val="00F64AC4"/>
    <w:rsid w:val="00F94CAE"/>
    <w:rsid w:val="00FE0200"/>
    <w:rsid w:val="00FF777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0"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00"/>
    <w:rPr>
      <w:sz w:val="24"/>
      <w:szCs w:val="24"/>
    </w:rPr>
  </w:style>
  <w:style w:type="paragraph" w:styleId="Heading1">
    <w:name w:val="heading 1"/>
    <w:basedOn w:val="Normal"/>
    <w:next w:val="Normal"/>
    <w:link w:val="Heading1Char"/>
    <w:uiPriority w:val="9"/>
    <w:qFormat/>
    <w:rsid w:val="00FE02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FE02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FE020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35E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20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FE02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E0200"/>
    <w:rPr>
      <w:rFonts w:asciiTheme="majorHAnsi" w:eastAsiaTheme="majorEastAsia" w:hAnsiTheme="majorHAnsi" w:cstheme="majorBidi"/>
      <w:b/>
      <w:bCs/>
      <w:color w:val="4F81BD" w:themeColor="accent1"/>
      <w:sz w:val="24"/>
      <w:szCs w:val="24"/>
    </w:rPr>
  </w:style>
  <w:style w:type="paragraph" w:customStyle="1" w:styleId="Body">
    <w:name w:val="Body"/>
    <w:basedOn w:val="Normal"/>
    <w:rsid w:val="00FE0200"/>
    <w:pPr>
      <w:spacing w:before="240"/>
    </w:pPr>
    <w:rPr>
      <w:rFonts w:ascii="Times New Roman" w:hAnsi="Times New Roman"/>
    </w:rPr>
  </w:style>
  <w:style w:type="character" w:styleId="Hyperlink">
    <w:name w:val="Hyperlink"/>
    <w:basedOn w:val="DefaultParagraphFont"/>
    <w:uiPriority w:val="99"/>
    <w:unhideWhenUsed/>
    <w:rsid w:val="00FE0200"/>
    <w:rPr>
      <w:color w:val="0000FF" w:themeColor="hyperlink"/>
      <w:u w:val="single"/>
    </w:rPr>
  </w:style>
  <w:style w:type="paragraph" w:styleId="Footer">
    <w:name w:val="footer"/>
    <w:basedOn w:val="Normal"/>
    <w:link w:val="FooterChar"/>
    <w:uiPriority w:val="99"/>
    <w:rsid w:val="00FE0200"/>
    <w:pPr>
      <w:tabs>
        <w:tab w:val="center" w:pos="4320"/>
        <w:tab w:val="right" w:pos="8640"/>
      </w:tabs>
    </w:pPr>
  </w:style>
  <w:style w:type="character" w:customStyle="1" w:styleId="FooterChar">
    <w:name w:val="Footer Char"/>
    <w:basedOn w:val="DefaultParagraphFont"/>
    <w:link w:val="Footer"/>
    <w:uiPriority w:val="99"/>
    <w:rsid w:val="00FE0200"/>
    <w:rPr>
      <w:sz w:val="24"/>
      <w:szCs w:val="24"/>
    </w:rPr>
  </w:style>
  <w:style w:type="character" w:styleId="PageNumber">
    <w:name w:val="page number"/>
    <w:basedOn w:val="DefaultParagraphFont"/>
    <w:uiPriority w:val="99"/>
    <w:rsid w:val="00FE0200"/>
  </w:style>
  <w:style w:type="paragraph" w:styleId="TOC1">
    <w:name w:val="toc 1"/>
    <w:basedOn w:val="Normal"/>
    <w:next w:val="Normal"/>
    <w:autoRedefine/>
    <w:uiPriority w:val="39"/>
    <w:rsid w:val="00FE0200"/>
  </w:style>
  <w:style w:type="paragraph" w:styleId="TOC2">
    <w:name w:val="toc 2"/>
    <w:basedOn w:val="Normal"/>
    <w:next w:val="Normal"/>
    <w:autoRedefine/>
    <w:uiPriority w:val="39"/>
    <w:rsid w:val="00FE0200"/>
    <w:pPr>
      <w:ind w:left="240"/>
    </w:pPr>
  </w:style>
  <w:style w:type="paragraph" w:styleId="TOC3">
    <w:name w:val="toc 3"/>
    <w:basedOn w:val="Normal"/>
    <w:next w:val="Normal"/>
    <w:autoRedefine/>
    <w:uiPriority w:val="39"/>
    <w:rsid w:val="00FE0200"/>
    <w:pPr>
      <w:ind w:left="480"/>
    </w:pPr>
  </w:style>
  <w:style w:type="paragraph" w:styleId="TOC4">
    <w:name w:val="toc 4"/>
    <w:basedOn w:val="Normal"/>
    <w:next w:val="Normal"/>
    <w:autoRedefine/>
    <w:rsid w:val="00FE0200"/>
    <w:pPr>
      <w:ind w:left="720"/>
    </w:pPr>
  </w:style>
  <w:style w:type="paragraph" w:styleId="TOC5">
    <w:name w:val="toc 5"/>
    <w:basedOn w:val="Normal"/>
    <w:next w:val="Normal"/>
    <w:autoRedefine/>
    <w:rsid w:val="00FE0200"/>
    <w:pPr>
      <w:ind w:left="960"/>
    </w:pPr>
  </w:style>
  <w:style w:type="paragraph" w:styleId="TOC6">
    <w:name w:val="toc 6"/>
    <w:basedOn w:val="Normal"/>
    <w:next w:val="Normal"/>
    <w:autoRedefine/>
    <w:rsid w:val="00FE0200"/>
    <w:pPr>
      <w:ind w:left="1200"/>
    </w:pPr>
  </w:style>
  <w:style w:type="paragraph" w:styleId="TOC7">
    <w:name w:val="toc 7"/>
    <w:basedOn w:val="Normal"/>
    <w:next w:val="Normal"/>
    <w:autoRedefine/>
    <w:rsid w:val="00FE0200"/>
    <w:pPr>
      <w:ind w:left="1440"/>
    </w:pPr>
  </w:style>
  <w:style w:type="paragraph" w:styleId="TOC8">
    <w:name w:val="toc 8"/>
    <w:basedOn w:val="Normal"/>
    <w:next w:val="Normal"/>
    <w:autoRedefine/>
    <w:rsid w:val="00FE0200"/>
    <w:pPr>
      <w:ind w:left="1680"/>
    </w:pPr>
  </w:style>
  <w:style w:type="paragraph" w:styleId="TOC9">
    <w:name w:val="toc 9"/>
    <w:basedOn w:val="Normal"/>
    <w:next w:val="Normal"/>
    <w:autoRedefine/>
    <w:rsid w:val="00FE0200"/>
    <w:pPr>
      <w:ind w:left="1920"/>
    </w:pPr>
  </w:style>
  <w:style w:type="paragraph" w:customStyle="1" w:styleId="Body2">
    <w:name w:val="Body2"/>
    <w:basedOn w:val="Normal"/>
    <w:qFormat/>
    <w:rsid w:val="00FE0200"/>
    <w:pPr>
      <w:spacing w:before="240"/>
    </w:pPr>
    <w:rPr>
      <w:rFonts w:ascii="Times New Roman" w:hAnsi="Times New Roman"/>
    </w:rPr>
  </w:style>
  <w:style w:type="paragraph" w:styleId="ListParagraph">
    <w:name w:val="List Paragraph"/>
    <w:basedOn w:val="Normal"/>
    <w:rsid w:val="00FE0200"/>
    <w:pPr>
      <w:ind w:left="720"/>
      <w:contextualSpacing/>
    </w:pPr>
  </w:style>
  <w:style w:type="character" w:styleId="FollowedHyperlink">
    <w:name w:val="FollowedHyperlink"/>
    <w:basedOn w:val="DefaultParagraphFont"/>
    <w:rsid w:val="00FE0200"/>
    <w:rPr>
      <w:color w:val="800080" w:themeColor="followedHyperlink"/>
      <w:u w:val="single"/>
    </w:rPr>
  </w:style>
  <w:style w:type="paragraph" w:customStyle="1" w:styleId="xl26">
    <w:name w:val="xl26"/>
    <w:basedOn w:val="Normal"/>
    <w:rsid w:val="00FE0200"/>
    <w:pPr>
      <w:spacing w:before="100" w:beforeAutospacing="1" w:after="100" w:afterAutospacing="1"/>
      <w:jc w:val="center"/>
    </w:pPr>
    <w:rPr>
      <w:rFonts w:ascii="Times" w:eastAsia="Times New Roman" w:hAnsi="Times" w:cs="Times New Roman"/>
      <w:sz w:val="20"/>
      <w:szCs w:val="20"/>
      <w:lang w:eastAsia="en-US"/>
    </w:rPr>
  </w:style>
  <w:style w:type="paragraph" w:styleId="BalloonText">
    <w:name w:val="Balloon Text"/>
    <w:basedOn w:val="Normal"/>
    <w:link w:val="BalloonTextChar"/>
    <w:rsid w:val="00FE0200"/>
    <w:rPr>
      <w:rFonts w:ascii="Lucida Grande" w:hAnsi="Lucida Grande" w:cs="Lucida Grande"/>
      <w:sz w:val="18"/>
      <w:szCs w:val="18"/>
    </w:rPr>
  </w:style>
  <w:style w:type="character" w:customStyle="1" w:styleId="BalloonTextChar">
    <w:name w:val="Balloon Text Char"/>
    <w:basedOn w:val="DefaultParagraphFont"/>
    <w:link w:val="BalloonText"/>
    <w:rsid w:val="00FE0200"/>
    <w:rPr>
      <w:rFonts w:ascii="Lucida Grande" w:hAnsi="Lucida Grande" w:cs="Lucida Grande"/>
      <w:sz w:val="18"/>
      <w:szCs w:val="18"/>
    </w:rPr>
  </w:style>
  <w:style w:type="character" w:styleId="PlaceholderText">
    <w:name w:val="Placeholder Text"/>
    <w:basedOn w:val="DefaultParagraphFont"/>
    <w:rsid w:val="00FE0200"/>
    <w:rPr>
      <w:color w:val="808080"/>
    </w:rPr>
  </w:style>
  <w:style w:type="paragraph" w:customStyle="1" w:styleId="Default">
    <w:name w:val="Default"/>
    <w:rsid w:val="00FE0200"/>
    <w:pPr>
      <w:widowControl w:val="0"/>
      <w:autoSpaceDE w:val="0"/>
      <w:autoSpaceDN w:val="0"/>
      <w:adjustRightInd w:val="0"/>
    </w:pPr>
    <w:rPr>
      <w:rFonts w:ascii="Times New Roman" w:eastAsia="Times New Roman" w:hAnsi="Times New Roman" w:cs="Times New Roman"/>
      <w:color w:val="000000"/>
      <w:sz w:val="24"/>
      <w:szCs w:val="24"/>
      <w:lang w:eastAsia="en-US"/>
    </w:rPr>
  </w:style>
  <w:style w:type="character" w:styleId="FootnoteReference">
    <w:name w:val="footnote reference"/>
    <w:basedOn w:val="DefaultParagraphFont"/>
    <w:rsid w:val="00FE0200"/>
    <w:rPr>
      <w:vertAlign w:val="superscript"/>
    </w:rPr>
  </w:style>
  <w:style w:type="character" w:customStyle="1" w:styleId="Heading4Char">
    <w:name w:val="Heading 4 Char"/>
    <w:basedOn w:val="DefaultParagraphFont"/>
    <w:link w:val="Heading4"/>
    <w:uiPriority w:val="9"/>
    <w:rsid w:val="00635E94"/>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0"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00"/>
    <w:rPr>
      <w:sz w:val="24"/>
      <w:szCs w:val="24"/>
    </w:rPr>
  </w:style>
  <w:style w:type="paragraph" w:styleId="Heading1">
    <w:name w:val="heading 1"/>
    <w:basedOn w:val="Normal"/>
    <w:next w:val="Normal"/>
    <w:link w:val="Heading1Char"/>
    <w:uiPriority w:val="9"/>
    <w:qFormat/>
    <w:rsid w:val="00FE02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FE02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FE020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35E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20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FE02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E0200"/>
    <w:rPr>
      <w:rFonts w:asciiTheme="majorHAnsi" w:eastAsiaTheme="majorEastAsia" w:hAnsiTheme="majorHAnsi" w:cstheme="majorBidi"/>
      <w:b/>
      <w:bCs/>
      <w:color w:val="4F81BD" w:themeColor="accent1"/>
      <w:sz w:val="24"/>
      <w:szCs w:val="24"/>
    </w:rPr>
  </w:style>
  <w:style w:type="paragraph" w:customStyle="1" w:styleId="Body">
    <w:name w:val="Body"/>
    <w:basedOn w:val="Normal"/>
    <w:rsid w:val="00FE0200"/>
    <w:pPr>
      <w:spacing w:before="240"/>
    </w:pPr>
    <w:rPr>
      <w:rFonts w:ascii="Times New Roman" w:hAnsi="Times New Roman"/>
    </w:rPr>
  </w:style>
  <w:style w:type="character" w:styleId="Hyperlink">
    <w:name w:val="Hyperlink"/>
    <w:basedOn w:val="DefaultParagraphFont"/>
    <w:uiPriority w:val="99"/>
    <w:unhideWhenUsed/>
    <w:rsid w:val="00FE0200"/>
    <w:rPr>
      <w:color w:val="0000FF" w:themeColor="hyperlink"/>
      <w:u w:val="single"/>
    </w:rPr>
  </w:style>
  <w:style w:type="paragraph" w:styleId="Footer">
    <w:name w:val="footer"/>
    <w:basedOn w:val="Normal"/>
    <w:link w:val="FooterChar"/>
    <w:uiPriority w:val="99"/>
    <w:rsid w:val="00FE0200"/>
    <w:pPr>
      <w:tabs>
        <w:tab w:val="center" w:pos="4320"/>
        <w:tab w:val="right" w:pos="8640"/>
      </w:tabs>
    </w:pPr>
  </w:style>
  <w:style w:type="character" w:customStyle="1" w:styleId="FooterChar">
    <w:name w:val="Footer Char"/>
    <w:basedOn w:val="DefaultParagraphFont"/>
    <w:link w:val="Footer"/>
    <w:uiPriority w:val="99"/>
    <w:rsid w:val="00FE0200"/>
    <w:rPr>
      <w:sz w:val="24"/>
      <w:szCs w:val="24"/>
    </w:rPr>
  </w:style>
  <w:style w:type="character" w:styleId="PageNumber">
    <w:name w:val="page number"/>
    <w:basedOn w:val="DefaultParagraphFont"/>
    <w:uiPriority w:val="99"/>
    <w:rsid w:val="00FE0200"/>
  </w:style>
  <w:style w:type="paragraph" w:styleId="TOC1">
    <w:name w:val="toc 1"/>
    <w:basedOn w:val="Normal"/>
    <w:next w:val="Normal"/>
    <w:autoRedefine/>
    <w:uiPriority w:val="39"/>
    <w:rsid w:val="00FE0200"/>
  </w:style>
  <w:style w:type="paragraph" w:styleId="TOC2">
    <w:name w:val="toc 2"/>
    <w:basedOn w:val="Normal"/>
    <w:next w:val="Normal"/>
    <w:autoRedefine/>
    <w:uiPriority w:val="39"/>
    <w:rsid w:val="00FE0200"/>
    <w:pPr>
      <w:ind w:left="240"/>
    </w:pPr>
  </w:style>
  <w:style w:type="paragraph" w:styleId="TOC3">
    <w:name w:val="toc 3"/>
    <w:basedOn w:val="Normal"/>
    <w:next w:val="Normal"/>
    <w:autoRedefine/>
    <w:uiPriority w:val="39"/>
    <w:rsid w:val="00FE0200"/>
    <w:pPr>
      <w:ind w:left="480"/>
    </w:pPr>
  </w:style>
  <w:style w:type="paragraph" w:styleId="TOC4">
    <w:name w:val="toc 4"/>
    <w:basedOn w:val="Normal"/>
    <w:next w:val="Normal"/>
    <w:autoRedefine/>
    <w:rsid w:val="00FE0200"/>
    <w:pPr>
      <w:ind w:left="720"/>
    </w:pPr>
  </w:style>
  <w:style w:type="paragraph" w:styleId="TOC5">
    <w:name w:val="toc 5"/>
    <w:basedOn w:val="Normal"/>
    <w:next w:val="Normal"/>
    <w:autoRedefine/>
    <w:rsid w:val="00FE0200"/>
    <w:pPr>
      <w:ind w:left="960"/>
    </w:pPr>
  </w:style>
  <w:style w:type="paragraph" w:styleId="TOC6">
    <w:name w:val="toc 6"/>
    <w:basedOn w:val="Normal"/>
    <w:next w:val="Normal"/>
    <w:autoRedefine/>
    <w:rsid w:val="00FE0200"/>
    <w:pPr>
      <w:ind w:left="1200"/>
    </w:pPr>
  </w:style>
  <w:style w:type="paragraph" w:styleId="TOC7">
    <w:name w:val="toc 7"/>
    <w:basedOn w:val="Normal"/>
    <w:next w:val="Normal"/>
    <w:autoRedefine/>
    <w:rsid w:val="00FE0200"/>
    <w:pPr>
      <w:ind w:left="1440"/>
    </w:pPr>
  </w:style>
  <w:style w:type="paragraph" w:styleId="TOC8">
    <w:name w:val="toc 8"/>
    <w:basedOn w:val="Normal"/>
    <w:next w:val="Normal"/>
    <w:autoRedefine/>
    <w:rsid w:val="00FE0200"/>
    <w:pPr>
      <w:ind w:left="1680"/>
    </w:pPr>
  </w:style>
  <w:style w:type="paragraph" w:styleId="TOC9">
    <w:name w:val="toc 9"/>
    <w:basedOn w:val="Normal"/>
    <w:next w:val="Normal"/>
    <w:autoRedefine/>
    <w:rsid w:val="00FE0200"/>
    <w:pPr>
      <w:ind w:left="1920"/>
    </w:pPr>
  </w:style>
  <w:style w:type="paragraph" w:customStyle="1" w:styleId="Body2">
    <w:name w:val="Body2"/>
    <w:basedOn w:val="Normal"/>
    <w:qFormat/>
    <w:rsid w:val="00FE0200"/>
    <w:pPr>
      <w:spacing w:before="240"/>
    </w:pPr>
    <w:rPr>
      <w:rFonts w:ascii="Times New Roman" w:hAnsi="Times New Roman"/>
    </w:rPr>
  </w:style>
  <w:style w:type="paragraph" w:styleId="ListParagraph">
    <w:name w:val="List Paragraph"/>
    <w:basedOn w:val="Normal"/>
    <w:rsid w:val="00FE0200"/>
    <w:pPr>
      <w:ind w:left="720"/>
      <w:contextualSpacing/>
    </w:pPr>
  </w:style>
  <w:style w:type="character" w:styleId="FollowedHyperlink">
    <w:name w:val="FollowedHyperlink"/>
    <w:basedOn w:val="DefaultParagraphFont"/>
    <w:rsid w:val="00FE0200"/>
    <w:rPr>
      <w:color w:val="800080" w:themeColor="followedHyperlink"/>
      <w:u w:val="single"/>
    </w:rPr>
  </w:style>
  <w:style w:type="paragraph" w:customStyle="1" w:styleId="xl26">
    <w:name w:val="xl26"/>
    <w:basedOn w:val="Normal"/>
    <w:rsid w:val="00FE0200"/>
    <w:pPr>
      <w:spacing w:before="100" w:beforeAutospacing="1" w:after="100" w:afterAutospacing="1"/>
      <w:jc w:val="center"/>
    </w:pPr>
    <w:rPr>
      <w:rFonts w:ascii="Times" w:eastAsia="Times New Roman" w:hAnsi="Times" w:cs="Times New Roman"/>
      <w:sz w:val="20"/>
      <w:szCs w:val="20"/>
      <w:lang w:eastAsia="en-US"/>
    </w:rPr>
  </w:style>
  <w:style w:type="paragraph" w:styleId="BalloonText">
    <w:name w:val="Balloon Text"/>
    <w:basedOn w:val="Normal"/>
    <w:link w:val="BalloonTextChar"/>
    <w:rsid w:val="00FE0200"/>
    <w:rPr>
      <w:rFonts w:ascii="Lucida Grande" w:hAnsi="Lucida Grande" w:cs="Lucida Grande"/>
      <w:sz w:val="18"/>
      <w:szCs w:val="18"/>
    </w:rPr>
  </w:style>
  <w:style w:type="character" w:customStyle="1" w:styleId="BalloonTextChar">
    <w:name w:val="Balloon Text Char"/>
    <w:basedOn w:val="DefaultParagraphFont"/>
    <w:link w:val="BalloonText"/>
    <w:rsid w:val="00FE0200"/>
    <w:rPr>
      <w:rFonts w:ascii="Lucida Grande" w:hAnsi="Lucida Grande" w:cs="Lucida Grande"/>
      <w:sz w:val="18"/>
      <w:szCs w:val="18"/>
    </w:rPr>
  </w:style>
  <w:style w:type="character" w:styleId="PlaceholderText">
    <w:name w:val="Placeholder Text"/>
    <w:basedOn w:val="DefaultParagraphFont"/>
    <w:rsid w:val="00FE0200"/>
    <w:rPr>
      <w:color w:val="808080"/>
    </w:rPr>
  </w:style>
  <w:style w:type="paragraph" w:customStyle="1" w:styleId="Default">
    <w:name w:val="Default"/>
    <w:rsid w:val="00FE0200"/>
    <w:pPr>
      <w:widowControl w:val="0"/>
      <w:autoSpaceDE w:val="0"/>
      <w:autoSpaceDN w:val="0"/>
      <w:adjustRightInd w:val="0"/>
    </w:pPr>
    <w:rPr>
      <w:rFonts w:ascii="Times New Roman" w:eastAsia="Times New Roman" w:hAnsi="Times New Roman" w:cs="Times New Roman"/>
      <w:color w:val="000000"/>
      <w:sz w:val="24"/>
      <w:szCs w:val="24"/>
      <w:lang w:eastAsia="en-US"/>
    </w:rPr>
  </w:style>
  <w:style w:type="character" w:styleId="FootnoteReference">
    <w:name w:val="footnote reference"/>
    <w:basedOn w:val="DefaultParagraphFont"/>
    <w:rsid w:val="00FE0200"/>
    <w:rPr>
      <w:vertAlign w:val="superscript"/>
    </w:rPr>
  </w:style>
  <w:style w:type="character" w:customStyle="1" w:styleId="Heading4Char">
    <w:name w:val="Heading 4 Char"/>
    <w:basedOn w:val="DefaultParagraphFont"/>
    <w:link w:val="Heading4"/>
    <w:uiPriority w:val="9"/>
    <w:rsid w:val="00635E94"/>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0.emf"/><Relationship Id="rId28" Type="http://schemas.microsoft.com/office/2007/relationships/stylesWithEffects" Target="stylesWithEffects.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image" Target="media/image9.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28</Pages>
  <Words>12643</Words>
  <Characters>72066</Characters>
  <Application>Microsoft Office Word</Application>
  <DocSecurity>0</DocSecurity>
  <Lines>600</Lines>
  <Paragraphs>169</Paragraphs>
  <ScaleCrop>false</ScaleCrop>
  <Company>Clark University</Company>
  <LinksUpToDate>false</LinksUpToDate>
  <CharactersWithSpaces>84540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Hattis</dc:creator>
  <cp:lastModifiedBy>hhoumani</cp:lastModifiedBy>
  <cp:revision>2</cp:revision>
  <dcterms:created xsi:type="dcterms:W3CDTF">2013-03-11T18:32:00Z</dcterms:created>
  <dcterms:modified xsi:type="dcterms:W3CDTF">2013-03-11T18:32:00Z</dcterms:modified>
</cp:coreProperties>
</file>